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A78D" w14:textId="76B7970C" w:rsidR="00B55A6F" w:rsidRDefault="00B55A6F" w:rsidP="00A33DD2">
      <w:bookmarkStart w:id="0" w:name="_Hlk521048285"/>
      <w:bookmarkStart w:id="1" w:name="_Hlk521493747"/>
      <w:bookmarkEnd w:id="0"/>
      <w:bookmarkEnd w:id="1"/>
    </w:p>
    <w:p w14:paraId="7C2A92CE" w14:textId="77777777" w:rsidR="00A33D2F" w:rsidRDefault="00A33D2F" w:rsidP="00A33DD2"/>
    <w:p w14:paraId="38FD39B9" w14:textId="77777777" w:rsidR="00895C75" w:rsidRDefault="00895C75" w:rsidP="00A33DD2"/>
    <w:p w14:paraId="3280385C" w14:textId="2196F641" w:rsidR="006004D0" w:rsidRDefault="006004D0" w:rsidP="00A33DD2">
      <w:pPr>
        <w:rPr>
          <w:b/>
        </w:rPr>
      </w:pPr>
    </w:p>
    <w:p w14:paraId="3771F142" w14:textId="1A5ADDEE" w:rsidR="00621B8D" w:rsidRDefault="00621B8D" w:rsidP="00A33DD2">
      <w:pPr>
        <w:rPr>
          <w:b/>
        </w:rPr>
      </w:pPr>
    </w:p>
    <w:p w14:paraId="2B00A225" w14:textId="77777777" w:rsidR="00D60330" w:rsidRPr="00096865" w:rsidRDefault="00D60330" w:rsidP="00A33DD2">
      <w:pPr>
        <w:rPr>
          <w:b/>
        </w:rPr>
      </w:pPr>
    </w:p>
    <w:p w14:paraId="460A9C90" w14:textId="77777777" w:rsidR="00895C75" w:rsidRPr="006F5DE9" w:rsidRDefault="00B55A6F" w:rsidP="00895C75">
      <w:pPr>
        <w:jc w:val="center"/>
        <w:rPr>
          <w:rStyle w:val="IntenseEmphasis"/>
          <w:b/>
          <w:sz w:val="70"/>
          <w:szCs w:val="70"/>
        </w:rPr>
      </w:pPr>
      <w:bookmarkStart w:id="2" w:name="_Hlk14768897"/>
      <w:r w:rsidRPr="006F5DE9">
        <w:rPr>
          <w:rStyle w:val="IntenseEmphasis"/>
          <w:b/>
          <w:sz w:val="70"/>
          <w:szCs w:val="70"/>
        </w:rPr>
        <w:t>FATAL OPIOID OVERDOSE SURVEILLANCE</w:t>
      </w:r>
      <w:r w:rsidR="009431BF" w:rsidRPr="006F5DE9">
        <w:rPr>
          <w:rStyle w:val="IntenseEmphasis"/>
          <w:b/>
          <w:sz w:val="70"/>
          <w:szCs w:val="70"/>
        </w:rPr>
        <w:t xml:space="preserve"> </w:t>
      </w:r>
      <w:r w:rsidR="00BE77B1" w:rsidRPr="006F5DE9">
        <w:rPr>
          <w:rStyle w:val="IntenseEmphasis"/>
          <w:b/>
          <w:sz w:val="70"/>
          <w:szCs w:val="70"/>
        </w:rPr>
        <w:t>REPORT</w:t>
      </w:r>
      <w:bookmarkEnd w:id="2"/>
    </w:p>
    <w:p w14:paraId="207CA4CD" w14:textId="0887AE2D" w:rsidR="00B55A6F" w:rsidRPr="00107854" w:rsidRDefault="00D60330" w:rsidP="00895C75">
      <w:pPr>
        <w:jc w:val="center"/>
        <w:rPr>
          <w:rStyle w:val="SubtleEmphasis"/>
          <w:color w:val="F78E1E"/>
          <w:sz w:val="52"/>
        </w:rPr>
      </w:pPr>
      <w:r>
        <w:rPr>
          <w:rStyle w:val="SubtleEmphasis"/>
          <w:color w:val="F78E1E"/>
          <w:sz w:val="52"/>
        </w:rPr>
        <w:t xml:space="preserve">Florida </w:t>
      </w:r>
      <w:r w:rsidR="007A0AE2">
        <w:rPr>
          <w:rStyle w:val="SubtleEmphasis"/>
          <w:color w:val="F78E1E"/>
          <w:sz w:val="52"/>
        </w:rPr>
        <w:t>Q1</w:t>
      </w:r>
      <w:r w:rsidR="00B71473">
        <w:rPr>
          <w:rStyle w:val="SubtleEmphasis"/>
          <w:color w:val="F78E1E"/>
          <w:sz w:val="52"/>
        </w:rPr>
        <w:t>–Q2</w:t>
      </w:r>
      <w:r w:rsidR="00B7306A" w:rsidRPr="00107854">
        <w:rPr>
          <w:rStyle w:val="SubtleEmphasis"/>
          <w:color w:val="F78E1E"/>
          <w:sz w:val="52"/>
        </w:rPr>
        <w:t>, 201</w:t>
      </w:r>
      <w:r w:rsidR="00F60220">
        <w:rPr>
          <w:rStyle w:val="SubtleEmphasis"/>
          <w:color w:val="F78E1E"/>
          <w:sz w:val="52"/>
        </w:rPr>
        <w:t>8</w:t>
      </w:r>
    </w:p>
    <w:p w14:paraId="0C0A2F5E" w14:textId="7DC7E769" w:rsidR="006004D0" w:rsidRDefault="006004D0" w:rsidP="00A33DD2"/>
    <w:p w14:paraId="3BA4C125" w14:textId="1086ED11" w:rsidR="00D828E6" w:rsidRDefault="00D828E6" w:rsidP="006F5DE9">
      <w:pPr>
        <w:spacing w:after="0"/>
      </w:pPr>
    </w:p>
    <w:p w14:paraId="72FCAF7E" w14:textId="52814CF9" w:rsidR="002F6B74" w:rsidRDefault="002F6B74" w:rsidP="006F5DE9">
      <w:pPr>
        <w:spacing w:after="0"/>
      </w:pPr>
    </w:p>
    <w:p w14:paraId="4572BC55" w14:textId="5DAFD47B" w:rsidR="006F5DE9" w:rsidRDefault="006F5DE9" w:rsidP="006F5DE9">
      <w:pPr>
        <w:spacing w:after="0"/>
      </w:pPr>
    </w:p>
    <w:p w14:paraId="3D775717" w14:textId="2654D01E" w:rsidR="006F5DE9" w:rsidRDefault="006F5DE9" w:rsidP="006F5DE9">
      <w:pPr>
        <w:spacing w:after="0"/>
      </w:pPr>
    </w:p>
    <w:p w14:paraId="1EC0E2AC" w14:textId="68C496CE" w:rsidR="006F5DE9" w:rsidRDefault="006F5DE9" w:rsidP="006F5DE9">
      <w:pPr>
        <w:spacing w:after="0"/>
      </w:pPr>
    </w:p>
    <w:p w14:paraId="58DA5120" w14:textId="4A670EDE" w:rsidR="006F5DE9" w:rsidRDefault="006F5DE9" w:rsidP="006F5DE9">
      <w:pPr>
        <w:spacing w:after="0"/>
      </w:pPr>
    </w:p>
    <w:p w14:paraId="7E638643" w14:textId="77777777" w:rsidR="006F5DE9" w:rsidRDefault="006F5DE9" w:rsidP="006F5DE9">
      <w:pPr>
        <w:spacing w:after="0"/>
      </w:pPr>
    </w:p>
    <w:p w14:paraId="4A5F40A2" w14:textId="433F5DFE" w:rsidR="00D60330" w:rsidRDefault="00D60330" w:rsidP="006F5DE9">
      <w:pPr>
        <w:spacing w:after="0"/>
      </w:pPr>
    </w:p>
    <w:p w14:paraId="7105BCA0" w14:textId="042240C9" w:rsidR="00D60330" w:rsidRDefault="00D60330" w:rsidP="006F5DE9">
      <w:pPr>
        <w:spacing w:after="0"/>
      </w:pPr>
    </w:p>
    <w:p w14:paraId="2939B4C9" w14:textId="77777777" w:rsidR="006F5DE9" w:rsidRDefault="006F5DE9" w:rsidP="00A33DD2"/>
    <w:p w14:paraId="7EA57393" w14:textId="787B3DE5" w:rsidR="00D828E6" w:rsidRDefault="00D828E6" w:rsidP="006F4784">
      <w:pPr>
        <w:jc w:val="right"/>
        <w:rPr>
          <w:color w:val="F78E1E"/>
        </w:rPr>
      </w:pPr>
      <w:r>
        <w:rPr>
          <w:noProof/>
        </w:rPr>
        <w:drawing>
          <wp:inline distT="0" distB="0" distL="0" distR="0" wp14:anchorId="5A2A3EBF" wp14:editId="21B60DC4">
            <wp:extent cx="1448270" cy="1642456"/>
            <wp:effectExtent l="0" t="0" r="0" b="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C7191.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4741" cy="1683817"/>
                    </a:xfrm>
                    <a:prstGeom prst="rect">
                      <a:avLst/>
                    </a:prstGeom>
                  </pic:spPr>
                </pic:pic>
              </a:graphicData>
            </a:graphic>
          </wp:inline>
        </w:drawing>
      </w:r>
      <w:r w:rsidR="00EF2E85">
        <w:rPr>
          <w:color w:val="F78E1E"/>
        </w:rPr>
        <w:t xml:space="preserve">    </w:t>
      </w:r>
    </w:p>
    <w:p w14:paraId="1AFDB120" w14:textId="133AFC9A" w:rsidR="00B55A6F" w:rsidRPr="006004D0" w:rsidRDefault="00B55A6F" w:rsidP="006004D0">
      <w:pPr>
        <w:spacing w:after="120"/>
        <w:jc w:val="right"/>
        <w:rPr>
          <w:rStyle w:val="SubtleEmphasis"/>
          <w:color w:val="F78E1E"/>
          <w:sz w:val="28"/>
        </w:rPr>
      </w:pPr>
      <w:r w:rsidRPr="006004D0">
        <w:rPr>
          <w:rStyle w:val="SubtleEmphasis"/>
          <w:color w:val="F78E1E"/>
          <w:sz w:val="28"/>
        </w:rPr>
        <w:t>Enhanced State Opioid Overdose Surveillance</w:t>
      </w:r>
    </w:p>
    <w:p w14:paraId="0D65C653" w14:textId="39A014C5" w:rsidR="00056E95" w:rsidRDefault="00B55A6F" w:rsidP="006004D0">
      <w:pPr>
        <w:spacing w:after="120"/>
        <w:jc w:val="right"/>
        <w:rPr>
          <w:color w:val="00A0AF"/>
        </w:rPr>
      </w:pPr>
      <w:r w:rsidRPr="006004D0">
        <w:rPr>
          <w:rStyle w:val="SubtleEmphasis"/>
          <w:color w:val="F78E1E"/>
          <w:sz w:val="28"/>
        </w:rPr>
        <w:t>FLESOOS.co</w:t>
      </w:r>
      <w:r w:rsidR="00056E95" w:rsidRPr="006004D0">
        <w:rPr>
          <w:rStyle w:val="SubtleEmphasis"/>
          <w:color w:val="F78E1E"/>
          <w:sz w:val="28"/>
        </w:rPr>
        <w:t>m</w:t>
      </w:r>
      <w:r w:rsidR="00056E95">
        <w:rPr>
          <w:color w:val="00A0AF"/>
        </w:rPr>
        <w:br w:type="page"/>
      </w:r>
    </w:p>
    <w:p w14:paraId="6BBDBA04" w14:textId="77777777" w:rsidR="00912102" w:rsidRDefault="00912102" w:rsidP="00A33DD2"/>
    <w:p w14:paraId="625811BF" w14:textId="77777777" w:rsidR="00912102" w:rsidRDefault="00912102" w:rsidP="00A33DD2"/>
    <w:p w14:paraId="0F7AC675" w14:textId="77777777" w:rsidR="00912102" w:rsidRDefault="00912102" w:rsidP="00A33DD2"/>
    <w:p w14:paraId="76B73D09" w14:textId="77777777" w:rsidR="00912102" w:rsidRDefault="00912102" w:rsidP="00A33DD2"/>
    <w:p w14:paraId="0F3FC70E" w14:textId="77777777" w:rsidR="00912102" w:rsidRDefault="00912102" w:rsidP="00A33DD2"/>
    <w:p w14:paraId="2B1631FC" w14:textId="77777777" w:rsidR="00912102" w:rsidRDefault="00912102" w:rsidP="00A33DD2"/>
    <w:p w14:paraId="42AE88EF" w14:textId="77777777" w:rsidR="00912102" w:rsidRDefault="00912102" w:rsidP="00A33DD2"/>
    <w:p w14:paraId="6269D676" w14:textId="77777777" w:rsidR="00912102" w:rsidRDefault="00912102" w:rsidP="00A33DD2"/>
    <w:p w14:paraId="1465E74D" w14:textId="77777777" w:rsidR="00912102" w:rsidRDefault="00912102" w:rsidP="00A33DD2"/>
    <w:p w14:paraId="26A3FD23" w14:textId="77777777" w:rsidR="00912102" w:rsidRDefault="00912102" w:rsidP="00A33DD2"/>
    <w:p w14:paraId="4A9EC3F7" w14:textId="77777777" w:rsidR="00912102" w:rsidRDefault="00912102" w:rsidP="00A33DD2"/>
    <w:p w14:paraId="2ED3FDE2" w14:textId="77777777" w:rsidR="00912102" w:rsidRDefault="00912102" w:rsidP="00A33DD2"/>
    <w:p w14:paraId="6FE4F961" w14:textId="77777777" w:rsidR="00912102" w:rsidRDefault="00912102" w:rsidP="00A33DD2"/>
    <w:p w14:paraId="2F46630A" w14:textId="77777777" w:rsidR="00E84576" w:rsidRDefault="00E84576" w:rsidP="00A33DD2">
      <w:pPr>
        <w:rPr>
          <w:rStyle w:val="Strong"/>
        </w:rPr>
      </w:pPr>
    </w:p>
    <w:p w14:paraId="7E56F822" w14:textId="77777777" w:rsidR="00E84576" w:rsidRDefault="00E84576" w:rsidP="00A33DD2"/>
    <w:p w14:paraId="66DF5654" w14:textId="77777777" w:rsidR="006F5DE9" w:rsidRDefault="006F5DE9" w:rsidP="006F5DE9">
      <w:pPr>
        <w:spacing w:after="0"/>
      </w:pPr>
    </w:p>
    <w:p w14:paraId="0C33E772" w14:textId="67CC09EA" w:rsidR="007E5F73" w:rsidRDefault="007E5F73" w:rsidP="006F5DE9">
      <w:pPr>
        <w:spacing w:after="0"/>
      </w:pPr>
    </w:p>
    <w:p w14:paraId="19A550F8" w14:textId="761FF057" w:rsidR="006F5DE9" w:rsidRDefault="006F5DE9" w:rsidP="006F5DE9">
      <w:pPr>
        <w:spacing w:after="0"/>
      </w:pPr>
    </w:p>
    <w:p w14:paraId="44B1072C" w14:textId="77777777" w:rsidR="006F5DE9" w:rsidRDefault="006F5DE9" w:rsidP="005D6452"/>
    <w:p w14:paraId="00920671" w14:textId="798ECCD5" w:rsidR="00D47E83" w:rsidRPr="006F5DE9" w:rsidRDefault="00D47E83" w:rsidP="005D6452">
      <w:pPr>
        <w:spacing w:after="0"/>
        <w:rPr>
          <w:b/>
          <w:sz w:val="20"/>
        </w:rPr>
      </w:pPr>
      <w:r w:rsidRPr="006F5DE9">
        <w:rPr>
          <w:b/>
          <w:sz w:val="20"/>
        </w:rPr>
        <w:t>Funding Agency</w:t>
      </w:r>
      <w:r w:rsidR="005D6452" w:rsidRPr="006F5DE9">
        <w:rPr>
          <w:b/>
          <w:sz w:val="20"/>
        </w:rPr>
        <w:t>:</w:t>
      </w:r>
    </w:p>
    <w:p w14:paraId="7D0DCD3A" w14:textId="69FA8362" w:rsidR="00D47E83" w:rsidRPr="006F5DE9" w:rsidRDefault="00D47E83" w:rsidP="005D6452">
      <w:pPr>
        <w:spacing w:after="0"/>
        <w:rPr>
          <w:i/>
          <w:sz w:val="20"/>
        </w:rPr>
      </w:pPr>
      <w:r w:rsidRPr="006F5DE9">
        <w:rPr>
          <w:i/>
          <w:sz w:val="20"/>
        </w:rPr>
        <w:t>Centers for Disease Control and Prevention</w:t>
      </w:r>
    </w:p>
    <w:p w14:paraId="1E0755AC" w14:textId="4FDBC31B" w:rsidR="00E84576" w:rsidRPr="006F5DE9" w:rsidRDefault="00A53041" w:rsidP="005D6452">
      <w:pPr>
        <w:spacing w:after="0"/>
        <w:rPr>
          <w:i/>
          <w:sz w:val="20"/>
        </w:rPr>
      </w:pPr>
      <w:r w:rsidRPr="006F5DE9">
        <w:rPr>
          <w:i/>
          <w:sz w:val="20"/>
        </w:rPr>
        <w:t>Grant No. 1 NU17CE924896-01-00</w:t>
      </w:r>
    </w:p>
    <w:p w14:paraId="7673D68F" w14:textId="77777777" w:rsidR="00D47E83" w:rsidRPr="006F5DE9" w:rsidRDefault="00D47E83" w:rsidP="005D6452">
      <w:pPr>
        <w:spacing w:after="0"/>
        <w:rPr>
          <w:sz w:val="20"/>
        </w:rPr>
      </w:pPr>
    </w:p>
    <w:p w14:paraId="467FBCA3" w14:textId="3C2430AC" w:rsidR="00C8532C" w:rsidRPr="006F5DE9" w:rsidRDefault="00C8532C" w:rsidP="005D6452">
      <w:pPr>
        <w:spacing w:after="0"/>
        <w:rPr>
          <w:b/>
          <w:sz w:val="20"/>
        </w:rPr>
      </w:pPr>
      <w:r w:rsidRPr="006F5DE9">
        <w:rPr>
          <w:b/>
          <w:sz w:val="20"/>
        </w:rPr>
        <w:t>Author</w:t>
      </w:r>
      <w:r w:rsidR="005D6452" w:rsidRPr="006F5DE9">
        <w:rPr>
          <w:b/>
          <w:sz w:val="20"/>
        </w:rPr>
        <w:t>:</w:t>
      </w:r>
    </w:p>
    <w:p w14:paraId="6008C81E" w14:textId="49373B0C" w:rsidR="00E84576" w:rsidRPr="006F5DE9" w:rsidRDefault="00C8532C" w:rsidP="005D6452">
      <w:pPr>
        <w:spacing w:after="0"/>
        <w:rPr>
          <w:i/>
          <w:sz w:val="20"/>
        </w:rPr>
      </w:pPr>
      <w:r w:rsidRPr="006F5DE9">
        <w:rPr>
          <w:i/>
          <w:sz w:val="20"/>
        </w:rPr>
        <w:t>Jared Jashinsky, PhD</w:t>
      </w:r>
    </w:p>
    <w:p w14:paraId="66E125AE" w14:textId="7D37A92E" w:rsidR="00C8532C" w:rsidRPr="006F5DE9" w:rsidRDefault="00C8532C" w:rsidP="005D6452">
      <w:pPr>
        <w:spacing w:after="0"/>
        <w:rPr>
          <w:i/>
          <w:sz w:val="20"/>
        </w:rPr>
      </w:pPr>
      <w:r w:rsidRPr="006F5DE9">
        <w:rPr>
          <w:i/>
          <w:sz w:val="20"/>
        </w:rPr>
        <w:t>Epidemiologist</w:t>
      </w:r>
    </w:p>
    <w:p w14:paraId="5B625500" w14:textId="1833A9D2" w:rsidR="00C8532C" w:rsidRDefault="00C8532C" w:rsidP="005D6452">
      <w:pPr>
        <w:spacing w:after="0"/>
        <w:rPr>
          <w:i/>
          <w:sz w:val="20"/>
        </w:rPr>
      </w:pPr>
      <w:r w:rsidRPr="006F5DE9">
        <w:rPr>
          <w:i/>
          <w:sz w:val="20"/>
        </w:rPr>
        <w:t>Florida Department of Health</w:t>
      </w:r>
    </w:p>
    <w:p w14:paraId="4584AE83" w14:textId="77777777" w:rsidR="006F5DE9" w:rsidRPr="006F5DE9" w:rsidRDefault="006F5DE9" w:rsidP="006F5DE9">
      <w:pPr>
        <w:spacing w:after="0"/>
        <w:rPr>
          <w:i/>
          <w:sz w:val="20"/>
        </w:rPr>
      </w:pPr>
      <w:r>
        <w:rPr>
          <w:i/>
          <w:sz w:val="20"/>
        </w:rPr>
        <w:t>Division of Emergency Preparedness and Community Support</w:t>
      </w:r>
    </w:p>
    <w:p w14:paraId="1F3B877B" w14:textId="391854EF" w:rsidR="00C8532C" w:rsidRDefault="002C2663" w:rsidP="005D6452">
      <w:pPr>
        <w:spacing w:after="0"/>
        <w:rPr>
          <w:i/>
          <w:sz w:val="20"/>
        </w:rPr>
      </w:pPr>
      <w:r w:rsidRPr="006F5DE9">
        <w:rPr>
          <w:i/>
          <w:sz w:val="20"/>
        </w:rPr>
        <w:t>Bureau of Emergency Management</w:t>
      </w:r>
    </w:p>
    <w:p w14:paraId="0ABCD860" w14:textId="77777777" w:rsidR="002C2663" w:rsidRPr="006F5DE9" w:rsidRDefault="002C2663" w:rsidP="005D6452">
      <w:pPr>
        <w:spacing w:after="0"/>
      </w:pPr>
    </w:p>
    <w:p w14:paraId="7C6856E1" w14:textId="536C0D66" w:rsidR="00C8532C" w:rsidRPr="006F5DE9" w:rsidRDefault="00E84576" w:rsidP="005D6452">
      <w:pPr>
        <w:spacing w:after="0"/>
        <w:rPr>
          <w:b/>
          <w:sz w:val="20"/>
          <w:szCs w:val="20"/>
        </w:rPr>
      </w:pPr>
      <w:r w:rsidRPr="006F5DE9">
        <w:rPr>
          <w:b/>
          <w:sz w:val="20"/>
          <w:szCs w:val="20"/>
        </w:rPr>
        <w:t>Disclaimer</w:t>
      </w:r>
      <w:r w:rsidR="005D6452" w:rsidRPr="006F5DE9">
        <w:rPr>
          <w:b/>
          <w:sz w:val="20"/>
          <w:szCs w:val="20"/>
        </w:rPr>
        <w:t>:</w:t>
      </w:r>
    </w:p>
    <w:p w14:paraId="5812FC4D" w14:textId="485E4013" w:rsidR="00F05AD9" w:rsidRPr="00B506DD" w:rsidRDefault="00C8532C" w:rsidP="005D6452">
      <w:pPr>
        <w:spacing w:after="0"/>
        <w:rPr>
          <w:i/>
        </w:rPr>
      </w:pPr>
      <w:r w:rsidRPr="006F5DE9">
        <w:rPr>
          <w:i/>
          <w:sz w:val="20"/>
          <w:szCs w:val="20"/>
        </w:rPr>
        <w:t>T</w:t>
      </w:r>
      <w:r w:rsidR="00E84576" w:rsidRPr="006F5DE9">
        <w:rPr>
          <w:i/>
          <w:sz w:val="20"/>
          <w:szCs w:val="20"/>
        </w:rPr>
        <w:t>his product is for reference purposes only and is not to be construed as a legal document. Any reliance on the information contained herein is at the user’s own risk. The Florida Department of Health and its agents assume no responsibility for any use of the information contained herein or any loss resulting therefrom.</w:t>
      </w:r>
      <w:r w:rsidR="00F05AD9" w:rsidRPr="00B506DD">
        <w:rPr>
          <w:i/>
        </w:rPr>
        <w:br w:type="page"/>
      </w:r>
    </w:p>
    <w:p w14:paraId="45CC5965" w14:textId="0DB5FF81" w:rsidR="00F05AD9" w:rsidRPr="00CA2628" w:rsidRDefault="00F05AD9" w:rsidP="00CA2628">
      <w:pPr>
        <w:pStyle w:val="Heading1"/>
      </w:pPr>
      <w:bookmarkStart w:id="3" w:name="_Toc17295122"/>
      <w:bookmarkStart w:id="4" w:name="_Toc17788941"/>
      <w:r w:rsidRPr="00CA2628">
        <w:lastRenderedPageBreak/>
        <w:t>E</w:t>
      </w:r>
      <w:r w:rsidR="000A76C9" w:rsidRPr="00CA2628">
        <w:t>XECUTIVE SUMMARY</w:t>
      </w:r>
      <w:bookmarkEnd w:id="3"/>
      <w:bookmarkEnd w:id="4"/>
    </w:p>
    <w:p w14:paraId="56625AE0" w14:textId="1BDE2FDD" w:rsidR="0059519E" w:rsidRPr="00F315D4" w:rsidRDefault="0059519E" w:rsidP="00183A2C">
      <w:pPr>
        <w:pStyle w:val="Heading2"/>
      </w:pPr>
      <w:bookmarkStart w:id="5" w:name="_Toc17295123"/>
      <w:bookmarkStart w:id="6" w:name="_Toc17788942"/>
      <w:r w:rsidRPr="00F315D4">
        <w:t>B</w:t>
      </w:r>
      <w:r w:rsidR="00183A2C">
        <w:t>ACKGROUND</w:t>
      </w:r>
      <w:bookmarkEnd w:id="5"/>
      <w:bookmarkEnd w:id="6"/>
    </w:p>
    <w:p w14:paraId="1161123F" w14:textId="63A288C3" w:rsidR="006E1CB6" w:rsidRPr="00F315D4" w:rsidRDefault="006E1CB6" w:rsidP="001510AE">
      <w:pPr>
        <w:spacing w:after="220"/>
        <w:rPr>
          <w:color w:val="231F20"/>
          <w:sz w:val="22"/>
          <w:szCs w:val="22"/>
        </w:rPr>
      </w:pPr>
      <w:r w:rsidRPr="00F315D4">
        <w:rPr>
          <w:sz w:val="22"/>
          <w:szCs w:val="22"/>
        </w:rPr>
        <w:tab/>
      </w:r>
      <w:r w:rsidR="00136959" w:rsidRPr="00F315D4">
        <w:rPr>
          <w:sz w:val="22"/>
          <w:szCs w:val="22"/>
        </w:rPr>
        <w:t>Opioid overdose rates have increased dramatically since the turn of the century and have continued to rise in recent years</w:t>
      </w:r>
      <w:r w:rsidRPr="00F315D4">
        <w:rPr>
          <w:sz w:val="22"/>
          <w:szCs w:val="22"/>
        </w:rPr>
        <w:t>.</w:t>
      </w:r>
      <w:r w:rsidR="002B59BE" w:rsidRPr="00F315D4">
        <w:rPr>
          <w:sz w:val="22"/>
          <w:szCs w:val="22"/>
        </w:rPr>
        <w:t xml:space="preserve"> </w:t>
      </w:r>
      <w:r w:rsidRPr="00F315D4">
        <w:rPr>
          <w:sz w:val="22"/>
          <w:szCs w:val="22"/>
        </w:rPr>
        <w:t>Previous data from</w:t>
      </w:r>
      <w:r w:rsidR="009A716C">
        <w:rPr>
          <w:sz w:val="22"/>
          <w:szCs w:val="22"/>
        </w:rPr>
        <w:t xml:space="preserve"> the</w:t>
      </w:r>
      <w:r w:rsidRPr="00F315D4">
        <w:rPr>
          <w:sz w:val="22"/>
          <w:szCs w:val="22"/>
        </w:rPr>
        <w:t xml:space="preserve"> </w:t>
      </w:r>
      <w:r w:rsidR="009A716C" w:rsidRPr="00F315D4">
        <w:rPr>
          <w:noProof/>
          <w:sz w:val="22"/>
          <w:szCs w:val="22"/>
        </w:rPr>
        <w:t>Florida Enhanced State Opioid Overdose Surveillance (FL-ESOOS) project</w:t>
      </w:r>
      <w:r w:rsidRPr="00F315D4">
        <w:rPr>
          <w:sz w:val="22"/>
          <w:szCs w:val="22"/>
        </w:rPr>
        <w:t xml:space="preserve"> reported 1,121 fatal opioid overdoses for the second half of 2017. The same data showed that men, adults ages 25</w:t>
      </w:r>
      <w:r w:rsidR="009A716C">
        <w:rPr>
          <w:sz w:val="22"/>
          <w:szCs w:val="22"/>
        </w:rPr>
        <w:t>–</w:t>
      </w:r>
      <w:r w:rsidRPr="00F315D4">
        <w:rPr>
          <w:sz w:val="22"/>
          <w:szCs w:val="22"/>
        </w:rPr>
        <w:t>34, and whites were most likely to fatally overdose on opioids. Duval, Palm Beach, and Lee counties previously had the highest rates of fatal opioid overdoses.</w:t>
      </w:r>
      <w:r w:rsidR="002B59BE" w:rsidRPr="00F315D4">
        <w:rPr>
          <w:sz w:val="22"/>
          <w:szCs w:val="22"/>
        </w:rPr>
        <w:t xml:space="preserve"> </w:t>
      </w:r>
      <w:r w:rsidRPr="00F315D4">
        <w:rPr>
          <w:color w:val="231F20"/>
          <w:sz w:val="22"/>
          <w:szCs w:val="22"/>
        </w:rPr>
        <w:t>The purpose of this report is to provide current estimates of the number of fatal opioid overdoses in Florida</w:t>
      </w:r>
      <w:r w:rsidR="000C622D" w:rsidRPr="00F315D4">
        <w:rPr>
          <w:color w:val="231F20"/>
          <w:sz w:val="22"/>
          <w:szCs w:val="22"/>
        </w:rPr>
        <w:t xml:space="preserve"> and r</w:t>
      </w:r>
      <w:r w:rsidRPr="00F315D4">
        <w:rPr>
          <w:color w:val="231F20"/>
          <w:sz w:val="22"/>
          <w:szCs w:val="22"/>
        </w:rPr>
        <w:t xml:space="preserve">ates of fatal overdoses across demographic and contextual </w:t>
      </w:r>
      <w:r w:rsidR="000C622D" w:rsidRPr="00F315D4">
        <w:rPr>
          <w:color w:val="231F20"/>
          <w:sz w:val="22"/>
          <w:szCs w:val="22"/>
        </w:rPr>
        <w:t>groups</w:t>
      </w:r>
      <w:r w:rsidR="00884B83" w:rsidRPr="00F315D4">
        <w:rPr>
          <w:color w:val="231F20"/>
          <w:sz w:val="22"/>
          <w:szCs w:val="22"/>
        </w:rPr>
        <w:t xml:space="preserve">, using data from </w:t>
      </w:r>
      <w:r w:rsidR="009A716C">
        <w:rPr>
          <w:color w:val="231F20"/>
          <w:sz w:val="22"/>
          <w:szCs w:val="22"/>
        </w:rPr>
        <w:t>FL-ESOOS</w:t>
      </w:r>
      <w:r w:rsidRPr="00F315D4">
        <w:rPr>
          <w:color w:val="231F20"/>
          <w:sz w:val="22"/>
          <w:szCs w:val="22"/>
        </w:rPr>
        <w:t>.</w:t>
      </w:r>
    </w:p>
    <w:p w14:paraId="1CB2B0E9" w14:textId="66A53A8B" w:rsidR="00EB4277" w:rsidRPr="00F315D4" w:rsidRDefault="0059519E" w:rsidP="00183A2C">
      <w:pPr>
        <w:pStyle w:val="Heading2"/>
      </w:pPr>
      <w:bookmarkStart w:id="7" w:name="_Toc17295124"/>
      <w:bookmarkStart w:id="8" w:name="_Toc17788943"/>
      <w:r w:rsidRPr="00F315D4">
        <w:t>M</w:t>
      </w:r>
      <w:bookmarkEnd w:id="7"/>
      <w:r w:rsidR="00183A2C">
        <w:t>ETHODS</w:t>
      </w:r>
      <w:bookmarkEnd w:id="8"/>
    </w:p>
    <w:p w14:paraId="2533BF51" w14:textId="18F1D07B" w:rsidR="00F95CB8" w:rsidRPr="00F315D4" w:rsidRDefault="00EB7D4A" w:rsidP="001510AE">
      <w:pPr>
        <w:tabs>
          <w:tab w:val="left" w:pos="720"/>
        </w:tabs>
        <w:spacing w:after="220"/>
        <w:rPr>
          <w:sz w:val="22"/>
          <w:szCs w:val="22"/>
        </w:rPr>
      </w:pPr>
      <w:r w:rsidRPr="00F315D4">
        <w:rPr>
          <w:sz w:val="22"/>
          <w:szCs w:val="22"/>
        </w:rPr>
        <w:t xml:space="preserve">The number of fatal overdoses and related data </w:t>
      </w:r>
      <w:r w:rsidRPr="00F315D4">
        <w:rPr>
          <w:noProof/>
          <w:sz w:val="22"/>
          <w:szCs w:val="22"/>
        </w:rPr>
        <w:t>were derived</w:t>
      </w:r>
      <w:r w:rsidRPr="00F315D4">
        <w:rPr>
          <w:sz w:val="22"/>
          <w:szCs w:val="22"/>
        </w:rPr>
        <w:t xml:space="preserve"> from </w:t>
      </w:r>
      <w:r w:rsidR="002D721C" w:rsidRPr="00F315D4">
        <w:rPr>
          <w:sz w:val="22"/>
          <w:szCs w:val="22"/>
        </w:rPr>
        <w:t>Florida’s vital statistics death records and information provided by Florida medical examiners</w:t>
      </w:r>
      <w:r w:rsidRPr="00F315D4">
        <w:rPr>
          <w:sz w:val="22"/>
          <w:szCs w:val="22"/>
        </w:rPr>
        <w:t xml:space="preserve">. </w:t>
      </w:r>
      <w:r w:rsidRPr="00F315D4">
        <w:rPr>
          <w:noProof/>
          <w:sz w:val="22"/>
          <w:szCs w:val="22"/>
        </w:rPr>
        <w:t>Data in this report covered 57 of Florida’s 67 counties, or 82</w:t>
      </w:r>
      <w:r w:rsidR="006F5DE9" w:rsidRPr="00F315D4">
        <w:rPr>
          <w:noProof/>
          <w:sz w:val="22"/>
          <w:szCs w:val="22"/>
        </w:rPr>
        <w:t xml:space="preserve"> percent</w:t>
      </w:r>
      <w:r w:rsidRPr="00F315D4">
        <w:rPr>
          <w:noProof/>
          <w:sz w:val="22"/>
          <w:szCs w:val="22"/>
        </w:rPr>
        <w:t xml:space="preserve"> of the </w:t>
      </w:r>
      <w:r w:rsidR="00D10C98" w:rsidRPr="00F315D4">
        <w:rPr>
          <w:noProof/>
          <w:sz w:val="22"/>
          <w:szCs w:val="22"/>
        </w:rPr>
        <w:t xml:space="preserve">population. </w:t>
      </w:r>
      <w:r w:rsidRPr="00F315D4">
        <w:rPr>
          <w:rStyle w:val="fontstyle01"/>
          <w:rFonts w:ascii="Arial" w:hAnsi="Arial"/>
          <w:sz w:val="22"/>
          <w:szCs w:val="22"/>
        </w:rPr>
        <w:t>Rates per 100,000 persons were estimated using data from the 2017 U</w:t>
      </w:r>
      <w:r w:rsidR="006F5DE9" w:rsidRPr="00F315D4">
        <w:rPr>
          <w:rStyle w:val="fontstyle01"/>
          <w:rFonts w:ascii="Arial" w:hAnsi="Arial"/>
          <w:sz w:val="22"/>
          <w:szCs w:val="22"/>
        </w:rPr>
        <w:t>nited States (U.S</w:t>
      </w:r>
      <w:r w:rsidR="00F315D4" w:rsidRPr="00F315D4">
        <w:rPr>
          <w:rStyle w:val="fontstyle01"/>
          <w:rFonts w:ascii="Arial" w:hAnsi="Arial"/>
          <w:sz w:val="22"/>
          <w:szCs w:val="22"/>
        </w:rPr>
        <w:t>.</w:t>
      </w:r>
      <w:r w:rsidR="006F5DE9" w:rsidRPr="00F315D4">
        <w:rPr>
          <w:rStyle w:val="fontstyle01"/>
          <w:rFonts w:ascii="Arial" w:hAnsi="Arial"/>
          <w:sz w:val="22"/>
          <w:szCs w:val="22"/>
        </w:rPr>
        <w:t>)</w:t>
      </w:r>
      <w:r w:rsidRPr="00F315D4">
        <w:rPr>
          <w:rStyle w:val="fontstyle01"/>
          <w:rFonts w:ascii="Arial" w:hAnsi="Arial"/>
          <w:sz w:val="22"/>
          <w:szCs w:val="22"/>
        </w:rPr>
        <w:t xml:space="preserve"> Census Bureau,</w:t>
      </w:r>
      <w:r w:rsidRPr="00F315D4">
        <w:rPr>
          <w:sz w:val="22"/>
          <w:szCs w:val="22"/>
        </w:rPr>
        <w:t xml:space="preserve"> </w:t>
      </w:r>
      <w:r w:rsidRPr="00F315D4">
        <w:rPr>
          <w:rStyle w:val="fontstyle01"/>
          <w:rFonts w:ascii="Arial" w:hAnsi="Arial"/>
          <w:sz w:val="22"/>
          <w:szCs w:val="22"/>
        </w:rPr>
        <w:t>2013–2017 American Community Survey 5-Year Estimates.</w:t>
      </w:r>
      <w:r w:rsidRPr="00F315D4">
        <w:rPr>
          <w:sz w:val="22"/>
          <w:szCs w:val="22"/>
        </w:rPr>
        <w:t xml:space="preserve"> </w:t>
      </w:r>
      <w:r w:rsidR="00F95CB8" w:rsidRPr="00F315D4">
        <w:rPr>
          <w:sz w:val="22"/>
          <w:szCs w:val="22"/>
        </w:rPr>
        <w:t>T</w:t>
      </w:r>
      <w:r w:rsidRPr="00F315D4">
        <w:rPr>
          <w:rStyle w:val="fontstyle01"/>
          <w:rFonts w:ascii="Arial" w:hAnsi="Arial"/>
          <w:sz w:val="22"/>
          <w:szCs w:val="22"/>
        </w:rPr>
        <w:t xml:space="preserve">he population estimates were limited to counties reporting fatal opioid overdose data to </w:t>
      </w:r>
      <w:r w:rsidR="00884B83" w:rsidRPr="00F315D4">
        <w:rPr>
          <w:rStyle w:val="fontstyle01"/>
          <w:rFonts w:ascii="Arial" w:hAnsi="Arial"/>
          <w:sz w:val="22"/>
          <w:szCs w:val="22"/>
        </w:rPr>
        <w:t>FL-ESOOS</w:t>
      </w:r>
      <w:r w:rsidR="00825AD1" w:rsidRPr="00F315D4">
        <w:rPr>
          <w:rStyle w:val="fontstyle01"/>
          <w:rFonts w:ascii="Arial" w:hAnsi="Arial"/>
          <w:sz w:val="22"/>
          <w:szCs w:val="22"/>
        </w:rPr>
        <w:t xml:space="preserve">, </w:t>
      </w:r>
      <w:r w:rsidR="00F52E12" w:rsidRPr="00F315D4">
        <w:rPr>
          <w:rStyle w:val="fontstyle01"/>
          <w:rFonts w:ascii="Arial" w:hAnsi="Arial"/>
          <w:sz w:val="22"/>
          <w:szCs w:val="22"/>
        </w:rPr>
        <w:t>and most analyses were limited to those ages 10 and older</w:t>
      </w:r>
      <w:r w:rsidRPr="00F315D4">
        <w:rPr>
          <w:rStyle w:val="fontstyle01"/>
          <w:rFonts w:ascii="Arial" w:hAnsi="Arial"/>
          <w:sz w:val="22"/>
          <w:szCs w:val="22"/>
        </w:rPr>
        <w:t>.</w:t>
      </w:r>
      <w:r w:rsidR="004F072E" w:rsidRPr="00F315D4">
        <w:rPr>
          <w:rStyle w:val="fontstyle01"/>
          <w:rFonts w:ascii="Arial" w:hAnsi="Arial"/>
          <w:sz w:val="22"/>
          <w:szCs w:val="22"/>
        </w:rPr>
        <w:t xml:space="preserve"> </w:t>
      </w:r>
      <w:r w:rsidRPr="00F315D4">
        <w:rPr>
          <w:sz w:val="22"/>
          <w:szCs w:val="22"/>
        </w:rPr>
        <w:t>Demographic information</w:t>
      </w:r>
      <w:r w:rsidR="004F072E" w:rsidRPr="00F315D4">
        <w:rPr>
          <w:sz w:val="22"/>
          <w:szCs w:val="22"/>
        </w:rPr>
        <w:t xml:space="preserve"> including</w:t>
      </w:r>
      <w:r w:rsidRPr="00F315D4">
        <w:rPr>
          <w:sz w:val="22"/>
          <w:szCs w:val="22"/>
        </w:rPr>
        <w:t xml:space="preserve"> sex, race</w:t>
      </w:r>
      <w:r w:rsidR="004F072E" w:rsidRPr="00F315D4">
        <w:rPr>
          <w:sz w:val="22"/>
          <w:szCs w:val="22"/>
        </w:rPr>
        <w:t xml:space="preserve"> and e</w:t>
      </w:r>
      <w:r w:rsidRPr="00F315D4">
        <w:rPr>
          <w:sz w:val="22"/>
          <w:szCs w:val="22"/>
        </w:rPr>
        <w:t xml:space="preserve">thnicity, age, education, homelessness, and </w:t>
      </w:r>
      <w:r w:rsidR="004F072E" w:rsidRPr="00F315D4">
        <w:rPr>
          <w:sz w:val="22"/>
          <w:szCs w:val="22"/>
        </w:rPr>
        <w:t>residence in Florida were collected for all decedents.</w:t>
      </w:r>
      <w:r w:rsidRPr="00F315D4">
        <w:rPr>
          <w:sz w:val="22"/>
          <w:szCs w:val="22"/>
        </w:rPr>
        <w:t xml:space="preserve"> </w:t>
      </w:r>
      <w:r w:rsidR="001C4CB5" w:rsidRPr="00F315D4">
        <w:rPr>
          <w:sz w:val="22"/>
          <w:szCs w:val="22"/>
        </w:rPr>
        <w:t>County d</w:t>
      </w:r>
      <w:r w:rsidR="004F072E" w:rsidRPr="00F315D4">
        <w:rPr>
          <w:sz w:val="22"/>
          <w:szCs w:val="22"/>
        </w:rPr>
        <w:t>eath rates</w:t>
      </w:r>
      <w:r w:rsidR="001C4CB5" w:rsidRPr="00F315D4">
        <w:rPr>
          <w:sz w:val="22"/>
          <w:szCs w:val="22"/>
        </w:rPr>
        <w:t xml:space="preserve"> w</w:t>
      </w:r>
      <w:r w:rsidR="004F072E" w:rsidRPr="00F315D4">
        <w:rPr>
          <w:sz w:val="22"/>
          <w:szCs w:val="22"/>
        </w:rPr>
        <w:t>ere calculated using direct age</w:t>
      </w:r>
      <w:r w:rsidR="001C4CB5" w:rsidRPr="00F315D4">
        <w:rPr>
          <w:sz w:val="22"/>
          <w:szCs w:val="22"/>
        </w:rPr>
        <w:t>-</w:t>
      </w:r>
      <w:r w:rsidR="004F072E" w:rsidRPr="00F315D4">
        <w:rPr>
          <w:sz w:val="22"/>
          <w:szCs w:val="22"/>
        </w:rPr>
        <w:t>adjustment to facilitate comparisons.</w:t>
      </w:r>
    </w:p>
    <w:p w14:paraId="308AB01E" w14:textId="6AF12BB6" w:rsidR="0059519E" w:rsidRPr="00F315D4" w:rsidRDefault="00183A2C" w:rsidP="00183A2C">
      <w:pPr>
        <w:pStyle w:val="Heading2"/>
      </w:pPr>
      <w:bookmarkStart w:id="9" w:name="_Toc17788944"/>
      <w:r>
        <w:t>RESULTS</w:t>
      </w:r>
      <w:bookmarkEnd w:id="9"/>
    </w:p>
    <w:p w14:paraId="18C46CF8" w14:textId="3435695C" w:rsidR="008E2FA3" w:rsidRPr="00F315D4" w:rsidRDefault="000C622D" w:rsidP="001510AE">
      <w:pPr>
        <w:spacing w:after="220"/>
        <w:rPr>
          <w:sz w:val="22"/>
          <w:szCs w:val="22"/>
        </w:rPr>
      </w:pPr>
      <w:r w:rsidRPr="00F315D4">
        <w:rPr>
          <w:sz w:val="22"/>
          <w:szCs w:val="22"/>
        </w:rPr>
        <w:tab/>
      </w:r>
      <w:r w:rsidR="000C4591" w:rsidRPr="00F315D4">
        <w:rPr>
          <w:sz w:val="22"/>
          <w:szCs w:val="22"/>
        </w:rPr>
        <w:t>Analyses</w:t>
      </w:r>
      <w:r w:rsidRPr="00F315D4">
        <w:rPr>
          <w:sz w:val="22"/>
          <w:szCs w:val="22"/>
        </w:rPr>
        <w:t xml:space="preserve"> suggested these results are reasonably representative of </w:t>
      </w:r>
      <w:r w:rsidR="000C4591" w:rsidRPr="00F315D4">
        <w:rPr>
          <w:sz w:val="22"/>
          <w:szCs w:val="22"/>
        </w:rPr>
        <w:t>Florida as a whole</w:t>
      </w:r>
      <w:r w:rsidRPr="00F315D4">
        <w:rPr>
          <w:sz w:val="22"/>
          <w:szCs w:val="22"/>
        </w:rPr>
        <w:t xml:space="preserve">. </w:t>
      </w:r>
      <w:r w:rsidR="00CB642F" w:rsidRPr="00F315D4">
        <w:rPr>
          <w:sz w:val="22"/>
          <w:szCs w:val="22"/>
        </w:rPr>
        <w:t>Florida experienced 1,224 fatal opioid overdoses in the reporting counties between January and June of 2018, and a fatal opioid overdose rate of 8.3 per 100,000 individuals ages 10 and older</w:t>
      </w:r>
      <w:r w:rsidR="004F072E" w:rsidRPr="00F315D4">
        <w:rPr>
          <w:sz w:val="22"/>
          <w:szCs w:val="22"/>
        </w:rPr>
        <w:t>.</w:t>
      </w:r>
      <w:r w:rsidR="00CB642F" w:rsidRPr="00F315D4">
        <w:rPr>
          <w:sz w:val="22"/>
          <w:szCs w:val="22"/>
        </w:rPr>
        <w:t xml:space="preserve"> </w:t>
      </w:r>
      <w:r w:rsidR="00144295" w:rsidRPr="00F315D4">
        <w:rPr>
          <w:sz w:val="22"/>
          <w:szCs w:val="22"/>
        </w:rPr>
        <w:t xml:space="preserve">Most fatal overdoses occurred </w:t>
      </w:r>
      <w:r w:rsidR="004F072E" w:rsidRPr="00F315D4">
        <w:rPr>
          <w:sz w:val="22"/>
          <w:szCs w:val="22"/>
        </w:rPr>
        <w:t xml:space="preserve">among </w:t>
      </w:r>
      <w:r w:rsidR="00144295" w:rsidRPr="00F315D4">
        <w:rPr>
          <w:sz w:val="22"/>
          <w:szCs w:val="22"/>
        </w:rPr>
        <w:t xml:space="preserve">Florida residents </w:t>
      </w:r>
      <w:r w:rsidR="000C4591" w:rsidRPr="00F315D4">
        <w:rPr>
          <w:sz w:val="22"/>
          <w:szCs w:val="22"/>
        </w:rPr>
        <w:t xml:space="preserve">and not </w:t>
      </w:r>
      <w:r w:rsidR="00144295" w:rsidRPr="00F315D4">
        <w:rPr>
          <w:sz w:val="22"/>
          <w:szCs w:val="22"/>
        </w:rPr>
        <w:t>those visiting the state.</w:t>
      </w:r>
      <w:r w:rsidR="00CD0128" w:rsidRPr="00F315D4">
        <w:rPr>
          <w:sz w:val="22"/>
          <w:szCs w:val="22"/>
        </w:rPr>
        <w:t xml:space="preserve"> Lee, Volusia, and Palm Beach counties experienced the highest rates of fatal opioid overdoses. Adults ages 35</w:t>
      </w:r>
      <w:r w:rsidR="00917DED" w:rsidRPr="00F315D4">
        <w:rPr>
          <w:sz w:val="22"/>
          <w:szCs w:val="22"/>
        </w:rPr>
        <w:t>–</w:t>
      </w:r>
      <w:r w:rsidR="00CD0128" w:rsidRPr="00F315D4">
        <w:rPr>
          <w:sz w:val="22"/>
          <w:szCs w:val="22"/>
        </w:rPr>
        <w:t>44 were</w:t>
      </w:r>
      <w:r w:rsidR="00A31681" w:rsidRPr="00F315D4">
        <w:rPr>
          <w:sz w:val="22"/>
          <w:szCs w:val="22"/>
        </w:rPr>
        <w:t xml:space="preserve"> the most likely age group </w:t>
      </w:r>
      <w:r w:rsidR="00CD0128" w:rsidRPr="00F315D4">
        <w:rPr>
          <w:sz w:val="22"/>
          <w:szCs w:val="22"/>
        </w:rPr>
        <w:t xml:space="preserve">to </w:t>
      </w:r>
      <w:r w:rsidR="00A31681" w:rsidRPr="00F315D4">
        <w:rPr>
          <w:sz w:val="22"/>
          <w:szCs w:val="22"/>
        </w:rPr>
        <w:t>experience a fatal opioid overdose. Those with lower education as well as homeless individuals were at greater risk of fatal opioid overdose. Men were 2.4 times more likely than females and whites were 3.4 times more likely than non-whites to experience a fatal opioid overdose.</w:t>
      </w:r>
    </w:p>
    <w:p w14:paraId="1FDE6699" w14:textId="434A2E9C" w:rsidR="00F60220" w:rsidRDefault="00F60220" w:rsidP="006A7897">
      <w:pPr>
        <w:pStyle w:val="Heading1"/>
        <w:spacing w:after="0"/>
      </w:pPr>
      <w:r>
        <w:br w:type="page"/>
      </w:r>
      <w:bookmarkStart w:id="10" w:name="_Toc16855928"/>
      <w:bookmarkStart w:id="11" w:name="_Toc17295127"/>
      <w:bookmarkStart w:id="12" w:name="_Toc17788946"/>
      <w:r>
        <w:lastRenderedPageBreak/>
        <w:t>T</w:t>
      </w:r>
      <w:r w:rsidR="00343393">
        <w:t>ABLE OF CONTENTS</w:t>
      </w:r>
      <w:bookmarkEnd w:id="10"/>
      <w:bookmarkEnd w:id="11"/>
      <w:bookmarkEnd w:id="12"/>
    </w:p>
    <w:sdt>
      <w:sdtPr>
        <w:id w:val="916989646"/>
        <w:docPartObj>
          <w:docPartGallery w:val="Table of Contents"/>
          <w:docPartUnique/>
        </w:docPartObj>
      </w:sdtPr>
      <w:sdtEndPr>
        <w:rPr>
          <w:b/>
          <w:bCs/>
          <w:noProof/>
        </w:rPr>
      </w:sdtEndPr>
      <w:sdtContent>
        <w:p w14:paraId="7B3B7605" w14:textId="77777777" w:rsidR="00D227AC" w:rsidRDefault="00D227AC">
          <w:pPr>
            <w:pStyle w:val="TOC1"/>
            <w:tabs>
              <w:tab w:val="right" w:leader="dot" w:pos="9350"/>
            </w:tabs>
          </w:pPr>
        </w:p>
        <w:p w14:paraId="28E4D3E1" w14:textId="39AB49D0" w:rsidR="00D227AC" w:rsidRDefault="004353D7">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7788947" w:history="1">
            <w:r w:rsidR="00D227AC" w:rsidRPr="000E0AA3">
              <w:rPr>
                <w:rStyle w:val="Hyperlink"/>
                <w:noProof/>
              </w:rPr>
              <w:t>BACKGROUND</w:t>
            </w:r>
            <w:r w:rsidR="00D227AC">
              <w:rPr>
                <w:noProof/>
                <w:webHidden/>
              </w:rPr>
              <w:tab/>
            </w:r>
            <w:r w:rsidR="00D227AC">
              <w:rPr>
                <w:noProof/>
                <w:webHidden/>
              </w:rPr>
              <w:fldChar w:fldCharType="begin"/>
            </w:r>
            <w:r w:rsidR="00D227AC">
              <w:rPr>
                <w:noProof/>
                <w:webHidden/>
              </w:rPr>
              <w:instrText xml:space="preserve"> PAGEREF _Toc17788947 \h </w:instrText>
            </w:r>
            <w:r w:rsidR="00D227AC">
              <w:rPr>
                <w:noProof/>
                <w:webHidden/>
              </w:rPr>
            </w:r>
            <w:r w:rsidR="00D227AC">
              <w:rPr>
                <w:noProof/>
                <w:webHidden/>
              </w:rPr>
              <w:fldChar w:fldCharType="separate"/>
            </w:r>
            <w:r w:rsidR="00D227AC">
              <w:rPr>
                <w:noProof/>
                <w:webHidden/>
              </w:rPr>
              <w:t>1</w:t>
            </w:r>
            <w:r w:rsidR="00D227AC">
              <w:rPr>
                <w:noProof/>
                <w:webHidden/>
              </w:rPr>
              <w:fldChar w:fldCharType="end"/>
            </w:r>
          </w:hyperlink>
        </w:p>
        <w:p w14:paraId="6DA11F2D" w14:textId="4E3FBD1B" w:rsidR="00D227AC" w:rsidRDefault="009772D8">
          <w:pPr>
            <w:pStyle w:val="TOC1"/>
            <w:tabs>
              <w:tab w:val="right" w:leader="dot" w:pos="9350"/>
            </w:tabs>
            <w:rPr>
              <w:rFonts w:asciiTheme="minorHAnsi" w:eastAsiaTheme="minorEastAsia" w:hAnsiTheme="minorHAnsi" w:cstheme="minorBidi"/>
              <w:noProof/>
              <w:sz w:val="22"/>
              <w:szCs w:val="22"/>
            </w:rPr>
          </w:pPr>
          <w:hyperlink w:anchor="_Toc17788948" w:history="1">
            <w:r w:rsidR="00D227AC" w:rsidRPr="000E0AA3">
              <w:rPr>
                <w:rStyle w:val="Hyperlink"/>
                <w:noProof/>
              </w:rPr>
              <w:t>METHODS</w:t>
            </w:r>
            <w:r w:rsidR="00D227AC">
              <w:rPr>
                <w:noProof/>
                <w:webHidden/>
              </w:rPr>
              <w:tab/>
            </w:r>
            <w:r w:rsidR="00D227AC">
              <w:rPr>
                <w:noProof/>
                <w:webHidden/>
              </w:rPr>
              <w:fldChar w:fldCharType="begin"/>
            </w:r>
            <w:r w:rsidR="00D227AC">
              <w:rPr>
                <w:noProof/>
                <w:webHidden/>
              </w:rPr>
              <w:instrText xml:space="preserve"> PAGEREF _Toc17788948 \h </w:instrText>
            </w:r>
            <w:r w:rsidR="00D227AC">
              <w:rPr>
                <w:noProof/>
                <w:webHidden/>
              </w:rPr>
            </w:r>
            <w:r w:rsidR="00D227AC">
              <w:rPr>
                <w:noProof/>
                <w:webHidden/>
              </w:rPr>
              <w:fldChar w:fldCharType="separate"/>
            </w:r>
            <w:r w:rsidR="00D227AC">
              <w:rPr>
                <w:noProof/>
                <w:webHidden/>
              </w:rPr>
              <w:t>2</w:t>
            </w:r>
            <w:r w:rsidR="00D227AC">
              <w:rPr>
                <w:noProof/>
                <w:webHidden/>
              </w:rPr>
              <w:fldChar w:fldCharType="end"/>
            </w:r>
          </w:hyperlink>
        </w:p>
        <w:p w14:paraId="5935E347" w14:textId="1F2321F7" w:rsidR="00D227AC" w:rsidRDefault="009772D8">
          <w:pPr>
            <w:pStyle w:val="TOC2"/>
            <w:tabs>
              <w:tab w:val="right" w:leader="dot" w:pos="9350"/>
            </w:tabs>
            <w:rPr>
              <w:rFonts w:asciiTheme="minorHAnsi" w:eastAsiaTheme="minorEastAsia" w:hAnsiTheme="minorHAnsi" w:cstheme="minorBidi"/>
              <w:noProof/>
              <w:sz w:val="22"/>
              <w:szCs w:val="22"/>
            </w:rPr>
          </w:pPr>
          <w:hyperlink w:anchor="_Toc17788949" w:history="1">
            <w:r w:rsidR="00D227AC" w:rsidRPr="000E0AA3">
              <w:rPr>
                <w:rStyle w:val="Hyperlink"/>
                <w:noProof/>
              </w:rPr>
              <w:t>SAMPLE</w:t>
            </w:r>
            <w:r w:rsidR="00D227AC">
              <w:rPr>
                <w:noProof/>
                <w:webHidden/>
              </w:rPr>
              <w:tab/>
            </w:r>
            <w:r w:rsidR="00D227AC">
              <w:rPr>
                <w:noProof/>
                <w:webHidden/>
              </w:rPr>
              <w:fldChar w:fldCharType="begin"/>
            </w:r>
            <w:r w:rsidR="00D227AC">
              <w:rPr>
                <w:noProof/>
                <w:webHidden/>
              </w:rPr>
              <w:instrText xml:space="preserve"> PAGEREF _Toc17788949 \h </w:instrText>
            </w:r>
            <w:r w:rsidR="00D227AC">
              <w:rPr>
                <w:noProof/>
                <w:webHidden/>
              </w:rPr>
            </w:r>
            <w:r w:rsidR="00D227AC">
              <w:rPr>
                <w:noProof/>
                <w:webHidden/>
              </w:rPr>
              <w:fldChar w:fldCharType="separate"/>
            </w:r>
            <w:r w:rsidR="00D227AC">
              <w:rPr>
                <w:noProof/>
                <w:webHidden/>
              </w:rPr>
              <w:t>2</w:t>
            </w:r>
            <w:r w:rsidR="00D227AC">
              <w:rPr>
                <w:noProof/>
                <w:webHidden/>
              </w:rPr>
              <w:fldChar w:fldCharType="end"/>
            </w:r>
          </w:hyperlink>
        </w:p>
        <w:p w14:paraId="035D0439" w14:textId="2A9C0DFF" w:rsidR="00D227AC" w:rsidRDefault="009772D8">
          <w:pPr>
            <w:pStyle w:val="TOC2"/>
            <w:tabs>
              <w:tab w:val="right" w:leader="dot" w:pos="9350"/>
            </w:tabs>
            <w:rPr>
              <w:rFonts w:asciiTheme="minorHAnsi" w:eastAsiaTheme="minorEastAsia" w:hAnsiTheme="minorHAnsi" w:cstheme="minorBidi"/>
              <w:noProof/>
              <w:sz w:val="22"/>
              <w:szCs w:val="22"/>
            </w:rPr>
          </w:pPr>
          <w:hyperlink w:anchor="_Toc17788950" w:history="1">
            <w:r w:rsidR="00D227AC" w:rsidRPr="000E0AA3">
              <w:rPr>
                <w:rStyle w:val="Hyperlink"/>
                <w:noProof/>
              </w:rPr>
              <w:t>MEASURES</w:t>
            </w:r>
            <w:r w:rsidR="00D227AC">
              <w:rPr>
                <w:noProof/>
                <w:webHidden/>
              </w:rPr>
              <w:tab/>
            </w:r>
            <w:r w:rsidR="00D227AC">
              <w:rPr>
                <w:noProof/>
                <w:webHidden/>
              </w:rPr>
              <w:fldChar w:fldCharType="begin"/>
            </w:r>
            <w:r w:rsidR="00D227AC">
              <w:rPr>
                <w:noProof/>
                <w:webHidden/>
              </w:rPr>
              <w:instrText xml:space="preserve"> PAGEREF _Toc17788950 \h </w:instrText>
            </w:r>
            <w:r w:rsidR="00D227AC">
              <w:rPr>
                <w:noProof/>
                <w:webHidden/>
              </w:rPr>
            </w:r>
            <w:r w:rsidR="00D227AC">
              <w:rPr>
                <w:noProof/>
                <w:webHidden/>
              </w:rPr>
              <w:fldChar w:fldCharType="separate"/>
            </w:r>
            <w:r w:rsidR="00D227AC">
              <w:rPr>
                <w:noProof/>
                <w:webHidden/>
              </w:rPr>
              <w:t>4</w:t>
            </w:r>
            <w:r w:rsidR="00D227AC">
              <w:rPr>
                <w:noProof/>
                <w:webHidden/>
              </w:rPr>
              <w:fldChar w:fldCharType="end"/>
            </w:r>
          </w:hyperlink>
        </w:p>
        <w:p w14:paraId="2277A1A0" w14:textId="52700CAF" w:rsidR="00D227AC" w:rsidRDefault="009772D8">
          <w:pPr>
            <w:pStyle w:val="TOC3"/>
            <w:tabs>
              <w:tab w:val="right" w:leader="dot" w:pos="9350"/>
            </w:tabs>
            <w:rPr>
              <w:rFonts w:asciiTheme="minorHAnsi" w:eastAsiaTheme="minorEastAsia" w:hAnsiTheme="minorHAnsi" w:cstheme="minorBidi"/>
              <w:noProof/>
              <w:sz w:val="22"/>
              <w:szCs w:val="22"/>
            </w:rPr>
          </w:pPr>
          <w:hyperlink w:anchor="_Toc17788951" w:history="1">
            <w:r w:rsidR="00D227AC" w:rsidRPr="000E0AA3">
              <w:rPr>
                <w:rStyle w:val="Hyperlink"/>
                <w:noProof/>
              </w:rPr>
              <w:t>Demographics</w:t>
            </w:r>
            <w:r w:rsidR="00D227AC">
              <w:rPr>
                <w:noProof/>
                <w:webHidden/>
              </w:rPr>
              <w:tab/>
            </w:r>
            <w:r w:rsidR="00D227AC">
              <w:rPr>
                <w:noProof/>
                <w:webHidden/>
              </w:rPr>
              <w:fldChar w:fldCharType="begin"/>
            </w:r>
            <w:r w:rsidR="00D227AC">
              <w:rPr>
                <w:noProof/>
                <w:webHidden/>
              </w:rPr>
              <w:instrText xml:space="preserve"> PAGEREF _Toc17788951 \h </w:instrText>
            </w:r>
            <w:r w:rsidR="00D227AC">
              <w:rPr>
                <w:noProof/>
                <w:webHidden/>
              </w:rPr>
            </w:r>
            <w:r w:rsidR="00D227AC">
              <w:rPr>
                <w:noProof/>
                <w:webHidden/>
              </w:rPr>
              <w:fldChar w:fldCharType="separate"/>
            </w:r>
            <w:r w:rsidR="00D227AC">
              <w:rPr>
                <w:noProof/>
                <w:webHidden/>
              </w:rPr>
              <w:t>4</w:t>
            </w:r>
            <w:r w:rsidR="00D227AC">
              <w:rPr>
                <w:noProof/>
                <w:webHidden/>
              </w:rPr>
              <w:fldChar w:fldCharType="end"/>
            </w:r>
          </w:hyperlink>
        </w:p>
        <w:p w14:paraId="62804353" w14:textId="684B91FB" w:rsidR="00D227AC" w:rsidRDefault="009772D8">
          <w:pPr>
            <w:pStyle w:val="TOC3"/>
            <w:tabs>
              <w:tab w:val="right" w:leader="dot" w:pos="9350"/>
            </w:tabs>
            <w:rPr>
              <w:rFonts w:asciiTheme="minorHAnsi" w:eastAsiaTheme="minorEastAsia" w:hAnsiTheme="minorHAnsi" w:cstheme="minorBidi"/>
              <w:noProof/>
              <w:sz w:val="22"/>
              <w:szCs w:val="22"/>
            </w:rPr>
          </w:pPr>
          <w:hyperlink w:anchor="_Toc17788952" w:history="1">
            <w:r w:rsidR="00D227AC" w:rsidRPr="000E0AA3">
              <w:rPr>
                <w:rStyle w:val="Hyperlink"/>
                <w:noProof/>
              </w:rPr>
              <w:t>Overdose Characteristics</w:t>
            </w:r>
            <w:r w:rsidR="00D227AC">
              <w:rPr>
                <w:noProof/>
                <w:webHidden/>
              </w:rPr>
              <w:tab/>
            </w:r>
            <w:r w:rsidR="00D227AC">
              <w:rPr>
                <w:noProof/>
                <w:webHidden/>
              </w:rPr>
              <w:fldChar w:fldCharType="begin"/>
            </w:r>
            <w:r w:rsidR="00D227AC">
              <w:rPr>
                <w:noProof/>
                <w:webHidden/>
              </w:rPr>
              <w:instrText xml:space="preserve"> PAGEREF _Toc17788952 \h </w:instrText>
            </w:r>
            <w:r w:rsidR="00D227AC">
              <w:rPr>
                <w:noProof/>
                <w:webHidden/>
              </w:rPr>
            </w:r>
            <w:r w:rsidR="00D227AC">
              <w:rPr>
                <w:noProof/>
                <w:webHidden/>
              </w:rPr>
              <w:fldChar w:fldCharType="separate"/>
            </w:r>
            <w:r w:rsidR="00D227AC">
              <w:rPr>
                <w:noProof/>
                <w:webHidden/>
              </w:rPr>
              <w:t>4</w:t>
            </w:r>
            <w:r w:rsidR="00D227AC">
              <w:rPr>
                <w:noProof/>
                <w:webHidden/>
              </w:rPr>
              <w:fldChar w:fldCharType="end"/>
            </w:r>
          </w:hyperlink>
        </w:p>
        <w:p w14:paraId="6DA3BCF0" w14:textId="495A1481" w:rsidR="00D227AC" w:rsidRDefault="009772D8">
          <w:pPr>
            <w:pStyle w:val="TOC3"/>
            <w:tabs>
              <w:tab w:val="right" w:leader="dot" w:pos="9350"/>
            </w:tabs>
            <w:rPr>
              <w:rFonts w:asciiTheme="minorHAnsi" w:eastAsiaTheme="minorEastAsia" w:hAnsiTheme="minorHAnsi" w:cstheme="minorBidi"/>
              <w:noProof/>
              <w:sz w:val="22"/>
              <w:szCs w:val="22"/>
            </w:rPr>
          </w:pPr>
          <w:hyperlink w:anchor="_Toc17788953" w:history="1">
            <w:r w:rsidR="00D227AC" w:rsidRPr="000E0AA3">
              <w:rPr>
                <w:rStyle w:val="Hyperlink"/>
                <w:noProof/>
              </w:rPr>
              <w:t>Fatal Opioid Overdose Rates</w:t>
            </w:r>
            <w:r w:rsidR="00D227AC">
              <w:rPr>
                <w:noProof/>
                <w:webHidden/>
              </w:rPr>
              <w:tab/>
            </w:r>
            <w:r w:rsidR="00D227AC">
              <w:rPr>
                <w:noProof/>
                <w:webHidden/>
              </w:rPr>
              <w:fldChar w:fldCharType="begin"/>
            </w:r>
            <w:r w:rsidR="00D227AC">
              <w:rPr>
                <w:noProof/>
                <w:webHidden/>
              </w:rPr>
              <w:instrText xml:space="preserve"> PAGEREF _Toc17788953 \h </w:instrText>
            </w:r>
            <w:r w:rsidR="00D227AC">
              <w:rPr>
                <w:noProof/>
                <w:webHidden/>
              </w:rPr>
            </w:r>
            <w:r w:rsidR="00D227AC">
              <w:rPr>
                <w:noProof/>
                <w:webHidden/>
              </w:rPr>
              <w:fldChar w:fldCharType="separate"/>
            </w:r>
            <w:r w:rsidR="00D227AC">
              <w:rPr>
                <w:noProof/>
                <w:webHidden/>
              </w:rPr>
              <w:t>5</w:t>
            </w:r>
            <w:r w:rsidR="00D227AC">
              <w:rPr>
                <w:noProof/>
                <w:webHidden/>
              </w:rPr>
              <w:fldChar w:fldCharType="end"/>
            </w:r>
          </w:hyperlink>
        </w:p>
        <w:p w14:paraId="3D9431B5" w14:textId="79FC9D36" w:rsidR="00D227AC" w:rsidRDefault="009772D8">
          <w:pPr>
            <w:pStyle w:val="TOC2"/>
            <w:tabs>
              <w:tab w:val="right" w:leader="dot" w:pos="9350"/>
            </w:tabs>
            <w:rPr>
              <w:rFonts w:asciiTheme="minorHAnsi" w:eastAsiaTheme="minorEastAsia" w:hAnsiTheme="minorHAnsi" w:cstheme="minorBidi"/>
              <w:noProof/>
              <w:sz w:val="22"/>
              <w:szCs w:val="22"/>
            </w:rPr>
          </w:pPr>
          <w:hyperlink w:anchor="_Toc17788954" w:history="1">
            <w:r w:rsidR="00D227AC" w:rsidRPr="000E0AA3">
              <w:rPr>
                <w:rStyle w:val="Hyperlink"/>
                <w:noProof/>
              </w:rPr>
              <w:t>SAMPLE REPRESENTATIVENESS</w:t>
            </w:r>
            <w:r w:rsidR="00D227AC">
              <w:rPr>
                <w:noProof/>
                <w:webHidden/>
              </w:rPr>
              <w:tab/>
            </w:r>
            <w:r w:rsidR="00D227AC">
              <w:rPr>
                <w:noProof/>
                <w:webHidden/>
              </w:rPr>
              <w:fldChar w:fldCharType="begin"/>
            </w:r>
            <w:r w:rsidR="00D227AC">
              <w:rPr>
                <w:noProof/>
                <w:webHidden/>
              </w:rPr>
              <w:instrText xml:space="preserve"> PAGEREF _Toc17788954 \h </w:instrText>
            </w:r>
            <w:r w:rsidR="00D227AC">
              <w:rPr>
                <w:noProof/>
                <w:webHidden/>
              </w:rPr>
            </w:r>
            <w:r w:rsidR="00D227AC">
              <w:rPr>
                <w:noProof/>
                <w:webHidden/>
              </w:rPr>
              <w:fldChar w:fldCharType="separate"/>
            </w:r>
            <w:r w:rsidR="00D227AC">
              <w:rPr>
                <w:noProof/>
                <w:webHidden/>
              </w:rPr>
              <w:t>5</w:t>
            </w:r>
            <w:r w:rsidR="00D227AC">
              <w:rPr>
                <w:noProof/>
                <w:webHidden/>
              </w:rPr>
              <w:fldChar w:fldCharType="end"/>
            </w:r>
          </w:hyperlink>
        </w:p>
        <w:p w14:paraId="7943C398" w14:textId="6B0CBAE5" w:rsidR="00D227AC" w:rsidRDefault="009772D8">
          <w:pPr>
            <w:pStyle w:val="TOC1"/>
            <w:tabs>
              <w:tab w:val="right" w:leader="dot" w:pos="9350"/>
            </w:tabs>
            <w:rPr>
              <w:rFonts w:asciiTheme="minorHAnsi" w:eastAsiaTheme="minorEastAsia" w:hAnsiTheme="minorHAnsi" w:cstheme="minorBidi"/>
              <w:noProof/>
              <w:sz w:val="22"/>
              <w:szCs w:val="22"/>
            </w:rPr>
          </w:pPr>
          <w:hyperlink w:anchor="_Toc17788955" w:history="1">
            <w:r w:rsidR="00D227AC" w:rsidRPr="000E0AA3">
              <w:rPr>
                <w:rStyle w:val="Hyperlink"/>
                <w:noProof/>
              </w:rPr>
              <w:t>RESULTS</w:t>
            </w:r>
            <w:r w:rsidR="00D227AC">
              <w:rPr>
                <w:noProof/>
                <w:webHidden/>
              </w:rPr>
              <w:tab/>
            </w:r>
            <w:r w:rsidR="00D227AC">
              <w:rPr>
                <w:noProof/>
                <w:webHidden/>
              </w:rPr>
              <w:fldChar w:fldCharType="begin"/>
            </w:r>
            <w:r w:rsidR="00D227AC">
              <w:rPr>
                <w:noProof/>
                <w:webHidden/>
              </w:rPr>
              <w:instrText xml:space="preserve"> PAGEREF _Toc17788955 \h </w:instrText>
            </w:r>
            <w:r w:rsidR="00D227AC">
              <w:rPr>
                <w:noProof/>
                <w:webHidden/>
              </w:rPr>
            </w:r>
            <w:r w:rsidR="00D227AC">
              <w:rPr>
                <w:noProof/>
                <w:webHidden/>
              </w:rPr>
              <w:fldChar w:fldCharType="separate"/>
            </w:r>
            <w:r w:rsidR="00D227AC">
              <w:rPr>
                <w:noProof/>
                <w:webHidden/>
              </w:rPr>
              <w:t>7</w:t>
            </w:r>
            <w:r w:rsidR="00D227AC">
              <w:rPr>
                <w:noProof/>
                <w:webHidden/>
              </w:rPr>
              <w:fldChar w:fldCharType="end"/>
            </w:r>
          </w:hyperlink>
        </w:p>
        <w:p w14:paraId="37B38C11" w14:textId="4DC7137C" w:rsidR="00D227AC" w:rsidRDefault="009772D8">
          <w:pPr>
            <w:pStyle w:val="TOC2"/>
            <w:tabs>
              <w:tab w:val="right" w:leader="dot" w:pos="9350"/>
            </w:tabs>
            <w:rPr>
              <w:rFonts w:asciiTheme="minorHAnsi" w:eastAsiaTheme="minorEastAsia" w:hAnsiTheme="minorHAnsi" w:cstheme="minorBidi"/>
              <w:noProof/>
              <w:sz w:val="22"/>
              <w:szCs w:val="22"/>
            </w:rPr>
          </w:pPr>
          <w:hyperlink w:anchor="_Toc17788956" w:history="1">
            <w:r w:rsidR="00D227AC" w:rsidRPr="000E0AA3">
              <w:rPr>
                <w:rStyle w:val="Hyperlink"/>
                <w:noProof/>
              </w:rPr>
              <w:t>DEMOGRAPHICS</w:t>
            </w:r>
            <w:r w:rsidR="00D227AC">
              <w:rPr>
                <w:noProof/>
                <w:webHidden/>
              </w:rPr>
              <w:tab/>
            </w:r>
            <w:r w:rsidR="00D227AC">
              <w:rPr>
                <w:noProof/>
                <w:webHidden/>
              </w:rPr>
              <w:fldChar w:fldCharType="begin"/>
            </w:r>
            <w:r w:rsidR="00D227AC">
              <w:rPr>
                <w:noProof/>
                <w:webHidden/>
              </w:rPr>
              <w:instrText xml:space="preserve"> PAGEREF _Toc17788956 \h </w:instrText>
            </w:r>
            <w:r w:rsidR="00D227AC">
              <w:rPr>
                <w:noProof/>
                <w:webHidden/>
              </w:rPr>
            </w:r>
            <w:r w:rsidR="00D227AC">
              <w:rPr>
                <w:noProof/>
                <w:webHidden/>
              </w:rPr>
              <w:fldChar w:fldCharType="separate"/>
            </w:r>
            <w:r w:rsidR="00D227AC">
              <w:rPr>
                <w:noProof/>
                <w:webHidden/>
              </w:rPr>
              <w:t>7</w:t>
            </w:r>
            <w:r w:rsidR="00D227AC">
              <w:rPr>
                <w:noProof/>
                <w:webHidden/>
              </w:rPr>
              <w:fldChar w:fldCharType="end"/>
            </w:r>
          </w:hyperlink>
        </w:p>
        <w:p w14:paraId="7E1126BD" w14:textId="33AE4C1F" w:rsidR="00D227AC" w:rsidRDefault="009772D8">
          <w:pPr>
            <w:pStyle w:val="TOC2"/>
            <w:tabs>
              <w:tab w:val="right" w:leader="dot" w:pos="9350"/>
            </w:tabs>
            <w:rPr>
              <w:rFonts w:asciiTheme="minorHAnsi" w:eastAsiaTheme="minorEastAsia" w:hAnsiTheme="minorHAnsi" w:cstheme="minorBidi"/>
              <w:noProof/>
              <w:sz w:val="22"/>
              <w:szCs w:val="22"/>
            </w:rPr>
          </w:pPr>
          <w:hyperlink w:anchor="_Toc17788957" w:history="1">
            <w:r w:rsidR="00D227AC" w:rsidRPr="000E0AA3">
              <w:rPr>
                <w:rStyle w:val="Hyperlink"/>
                <w:noProof/>
              </w:rPr>
              <w:t>OVERDOSE CHARACTERISTICS</w:t>
            </w:r>
            <w:r w:rsidR="00D227AC">
              <w:rPr>
                <w:noProof/>
                <w:webHidden/>
              </w:rPr>
              <w:tab/>
            </w:r>
            <w:r w:rsidR="00D227AC">
              <w:rPr>
                <w:noProof/>
                <w:webHidden/>
              </w:rPr>
              <w:fldChar w:fldCharType="begin"/>
            </w:r>
            <w:r w:rsidR="00D227AC">
              <w:rPr>
                <w:noProof/>
                <w:webHidden/>
              </w:rPr>
              <w:instrText xml:space="preserve"> PAGEREF _Toc17788957 \h </w:instrText>
            </w:r>
            <w:r w:rsidR="00D227AC">
              <w:rPr>
                <w:noProof/>
                <w:webHidden/>
              </w:rPr>
            </w:r>
            <w:r w:rsidR="00D227AC">
              <w:rPr>
                <w:noProof/>
                <w:webHidden/>
              </w:rPr>
              <w:fldChar w:fldCharType="separate"/>
            </w:r>
            <w:r w:rsidR="00D227AC">
              <w:rPr>
                <w:noProof/>
                <w:webHidden/>
              </w:rPr>
              <w:t>8</w:t>
            </w:r>
            <w:r w:rsidR="00D227AC">
              <w:rPr>
                <w:noProof/>
                <w:webHidden/>
              </w:rPr>
              <w:fldChar w:fldCharType="end"/>
            </w:r>
          </w:hyperlink>
        </w:p>
        <w:p w14:paraId="73081432" w14:textId="774244E8" w:rsidR="00D227AC" w:rsidRDefault="009772D8">
          <w:pPr>
            <w:pStyle w:val="TOC2"/>
            <w:tabs>
              <w:tab w:val="right" w:leader="dot" w:pos="9350"/>
            </w:tabs>
            <w:rPr>
              <w:rFonts w:asciiTheme="minorHAnsi" w:eastAsiaTheme="minorEastAsia" w:hAnsiTheme="minorHAnsi" w:cstheme="minorBidi"/>
              <w:noProof/>
              <w:sz w:val="22"/>
              <w:szCs w:val="22"/>
            </w:rPr>
          </w:pPr>
          <w:hyperlink w:anchor="_Toc17788958" w:history="1">
            <w:r w:rsidR="00D227AC" w:rsidRPr="000E0AA3">
              <w:rPr>
                <w:rStyle w:val="Hyperlink"/>
                <w:noProof/>
              </w:rPr>
              <w:t>FATAL OPIOID OVERDOSE RATES</w:t>
            </w:r>
            <w:r w:rsidR="00D227AC">
              <w:rPr>
                <w:noProof/>
                <w:webHidden/>
              </w:rPr>
              <w:tab/>
            </w:r>
            <w:r w:rsidR="00D227AC">
              <w:rPr>
                <w:noProof/>
                <w:webHidden/>
              </w:rPr>
              <w:fldChar w:fldCharType="begin"/>
            </w:r>
            <w:r w:rsidR="00D227AC">
              <w:rPr>
                <w:noProof/>
                <w:webHidden/>
              </w:rPr>
              <w:instrText xml:space="preserve"> PAGEREF _Toc17788958 \h </w:instrText>
            </w:r>
            <w:r w:rsidR="00D227AC">
              <w:rPr>
                <w:noProof/>
                <w:webHidden/>
              </w:rPr>
            </w:r>
            <w:r w:rsidR="00D227AC">
              <w:rPr>
                <w:noProof/>
                <w:webHidden/>
              </w:rPr>
              <w:fldChar w:fldCharType="separate"/>
            </w:r>
            <w:r w:rsidR="00D227AC">
              <w:rPr>
                <w:noProof/>
                <w:webHidden/>
              </w:rPr>
              <w:t>10</w:t>
            </w:r>
            <w:r w:rsidR="00D227AC">
              <w:rPr>
                <w:noProof/>
                <w:webHidden/>
              </w:rPr>
              <w:fldChar w:fldCharType="end"/>
            </w:r>
          </w:hyperlink>
        </w:p>
        <w:p w14:paraId="17FBC5F7" w14:textId="183F69D1" w:rsidR="00D227AC" w:rsidRDefault="009772D8">
          <w:pPr>
            <w:pStyle w:val="TOC1"/>
            <w:tabs>
              <w:tab w:val="right" w:leader="dot" w:pos="9350"/>
            </w:tabs>
            <w:rPr>
              <w:rFonts w:asciiTheme="minorHAnsi" w:eastAsiaTheme="minorEastAsia" w:hAnsiTheme="minorHAnsi" w:cstheme="minorBidi"/>
              <w:noProof/>
              <w:sz w:val="22"/>
              <w:szCs w:val="22"/>
            </w:rPr>
          </w:pPr>
          <w:hyperlink w:anchor="_Toc17788959" w:history="1">
            <w:r w:rsidR="00D227AC" w:rsidRPr="000E0AA3">
              <w:rPr>
                <w:rStyle w:val="Hyperlink"/>
                <w:noProof/>
              </w:rPr>
              <w:t>DISCUSSION</w:t>
            </w:r>
            <w:r w:rsidR="00D227AC">
              <w:rPr>
                <w:noProof/>
                <w:webHidden/>
              </w:rPr>
              <w:tab/>
            </w:r>
            <w:r w:rsidR="00D227AC">
              <w:rPr>
                <w:noProof/>
                <w:webHidden/>
              </w:rPr>
              <w:fldChar w:fldCharType="begin"/>
            </w:r>
            <w:r w:rsidR="00D227AC">
              <w:rPr>
                <w:noProof/>
                <w:webHidden/>
              </w:rPr>
              <w:instrText xml:space="preserve"> PAGEREF _Toc17788959 \h </w:instrText>
            </w:r>
            <w:r w:rsidR="00D227AC">
              <w:rPr>
                <w:noProof/>
                <w:webHidden/>
              </w:rPr>
            </w:r>
            <w:r w:rsidR="00D227AC">
              <w:rPr>
                <w:noProof/>
                <w:webHidden/>
              </w:rPr>
              <w:fldChar w:fldCharType="separate"/>
            </w:r>
            <w:r w:rsidR="00D227AC">
              <w:rPr>
                <w:noProof/>
                <w:webHidden/>
              </w:rPr>
              <w:t>15</w:t>
            </w:r>
            <w:r w:rsidR="00D227AC">
              <w:rPr>
                <w:noProof/>
                <w:webHidden/>
              </w:rPr>
              <w:fldChar w:fldCharType="end"/>
            </w:r>
          </w:hyperlink>
        </w:p>
        <w:p w14:paraId="30E65BB0" w14:textId="6900866B" w:rsidR="00D227AC" w:rsidRDefault="009772D8">
          <w:pPr>
            <w:pStyle w:val="TOC1"/>
            <w:tabs>
              <w:tab w:val="right" w:leader="dot" w:pos="9350"/>
            </w:tabs>
            <w:rPr>
              <w:rFonts w:asciiTheme="minorHAnsi" w:eastAsiaTheme="minorEastAsia" w:hAnsiTheme="minorHAnsi" w:cstheme="minorBidi"/>
              <w:noProof/>
              <w:sz w:val="22"/>
              <w:szCs w:val="22"/>
            </w:rPr>
          </w:pPr>
          <w:hyperlink w:anchor="_Toc17788960" w:history="1">
            <w:r w:rsidR="00D227AC" w:rsidRPr="000E0AA3">
              <w:rPr>
                <w:rStyle w:val="Hyperlink"/>
                <w:noProof/>
              </w:rPr>
              <w:t>REFERENCES</w:t>
            </w:r>
            <w:r w:rsidR="00D227AC">
              <w:rPr>
                <w:noProof/>
                <w:webHidden/>
              </w:rPr>
              <w:tab/>
            </w:r>
            <w:r w:rsidR="00D227AC">
              <w:rPr>
                <w:noProof/>
                <w:webHidden/>
              </w:rPr>
              <w:fldChar w:fldCharType="begin"/>
            </w:r>
            <w:r w:rsidR="00D227AC">
              <w:rPr>
                <w:noProof/>
                <w:webHidden/>
              </w:rPr>
              <w:instrText xml:space="preserve"> PAGEREF _Toc17788960 \h </w:instrText>
            </w:r>
            <w:r w:rsidR="00D227AC">
              <w:rPr>
                <w:noProof/>
                <w:webHidden/>
              </w:rPr>
            </w:r>
            <w:r w:rsidR="00D227AC">
              <w:rPr>
                <w:noProof/>
                <w:webHidden/>
              </w:rPr>
              <w:fldChar w:fldCharType="separate"/>
            </w:r>
            <w:r w:rsidR="00D227AC">
              <w:rPr>
                <w:noProof/>
                <w:webHidden/>
              </w:rPr>
              <w:t>16</w:t>
            </w:r>
            <w:r w:rsidR="00D227AC">
              <w:rPr>
                <w:noProof/>
                <w:webHidden/>
              </w:rPr>
              <w:fldChar w:fldCharType="end"/>
            </w:r>
          </w:hyperlink>
        </w:p>
        <w:p w14:paraId="724336E1" w14:textId="58C8AC87" w:rsidR="004353D7" w:rsidRDefault="004353D7">
          <w:r>
            <w:rPr>
              <w:b/>
              <w:bCs/>
              <w:noProof/>
            </w:rPr>
            <w:fldChar w:fldCharType="end"/>
          </w:r>
        </w:p>
      </w:sdtContent>
    </w:sdt>
    <w:p w14:paraId="6E437686" w14:textId="0A92B63F" w:rsidR="00F60220" w:rsidRDefault="00F60220">
      <w:pPr>
        <w:shd w:val="clear" w:color="auto" w:fill="auto"/>
        <w:tabs>
          <w:tab w:val="clear" w:pos="720"/>
          <w:tab w:val="clear" w:pos="9360"/>
        </w:tabs>
        <w:spacing w:after="160" w:line="259" w:lineRule="auto"/>
      </w:pPr>
    </w:p>
    <w:p w14:paraId="39665193" w14:textId="25544135" w:rsidR="009D4104" w:rsidRDefault="009D4104">
      <w:pPr>
        <w:shd w:val="clear" w:color="auto" w:fill="auto"/>
        <w:tabs>
          <w:tab w:val="clear" w:pos="720"/>
          <w:tab w:val="clear" w:pos="9360"/>
        </w:tabs>
        <w:spacing w:after="160" w:line="259" w:lineRule="auto"/>
        <w:rPr>
          <w:b/>
          <w:color w:val="00A0AF"/>
          <w:sz w:val="52"/>
          <w:szCs w:val="52"/>
        </w:rPr>
      </w:pPr>
    </w:p>
    <w:p w14:paraId="2C5648B3" w14:textId="052FC895" w:rsidR="009D4104" w:rsidRDefault="009D4104">
      <w:pPr>
        <w:shd w:val="clear" w:color="auto" w:fill="auto"/>
        <w:tabs>
          <w:tab w:val="clear" w:pos="720"/>
          <w:tab w:val="clear" w:pos="9360"/>
        </w:tabs>
        <w:spacing w:after="160" w:line="259" w:lineRule="auto"/>
        <w:rPr>
          <w:b/>
          <w:color w:val="00A0AF"/>
          <w:sz w:val="52"/>
          <w:szCs w:val="52"/>
        </w:rPr>
      </w:pPr>
    </w:p>
    <w:p w14:paraId="152EAF88" w14:textId="77777777" w:rsidR="009D4104" w:rsidRDefault="009D4104">
      <w:pPr>
        <w:shd w:val="clear" w:color="auto" w:fill="auto"/>
        <w:tabs>
          <w:tab w:val="clear" w:pos="720"/>
          <w:tab w:val="clear" w:pos="9360"/>
        </w:tabs>
        <w:spacing w:after="160" w:line="259" w:lineRule="auto"/>
        <w:rPr>
          <w:b/>
          <w:color w:val="00A0AF"/>
          <w:sz w:val="52"/>
          <w:szCs w:val="52"/>
        </w:rPr>
      </w:pPr>
    </w:p>
    <w:p w14:paraId="4E92B8A5" w14:textId="77777777" w:rsidR="0083589A" w:rsidRDefault="0083589A">
      <w:pPr>
        <w:shd w:val="clear" w:color="auto" w:fill="auto"/>
        <w:tabs>
          <w:tab w:val="clear" w:pos="720"/>
          <w:tab w:val="clear" w:pos="9360"/>
        </w:tabs>
        <w:spacing w:after="160" w:line="259" w:lineRule="auto"/>
        <w:rPr>
          <w:b/>
          <w:color w:val="00A0AF"/>
          <w:sz w:val="52"/>
          <w:szCs w:val="52"/>
        </w:rPr>
      </w:pPr>
      <w:r>
        <w:br w:type="page"/>
      </w:r>
    </w:p>
    <w:p w14:paraId="62E52768" w14:textId="77777777" w:rsidR="009A3933" w:rsidRDefault="009A3933" w:rsidP="00CA2628">
      <w:pPr>
        <w:pStyle w:val="Heading1"/>
        <w:sectPr w:rsidR="009A3933" w:rsidSect="006F5DE9">
          <w:footerReference w:type="default" r:id="rId12"/>
          <w:footerReference w:type="first" r:id="rId13"/>
          <w:pgSz w:w="12240" w:h="15840"/>
          <w:pgMar w:top="1440" w:right="1440" w:bottom="1440" w:left="1440" w:header="720" w:footer="576" w:gutter="0"/>
          <w:pgBorders w:display="firstPage" w:offsetFrom="page">
            <w:top w:val="single" w:sz="48" w:space="30" w:color="FFCF01"/>
            <w:left w:val="single" w:sz="48" w:space="30" w:color="FFCF01"/>
            <w:bottom w:val="single" w:sz="48" w:space="30" w:color="FFCF01"/>
            <w:right w:val="single" w:sz="48" w:space="30" w:color="FFCF01"/>
          </w:pgBorders>
          <w:pgNumType w:fmt="lowerRoman" w:start="1"/>
          <w:cols w:space="720"/>
          <w:titlePg/>
          <w:docGrid w:linePitch="360"/>
        </w:sectPr>
      </w:pPr>
    </w:p>
    <w:p w14:paraId="2A7BE3DA" w14:textId="0BDE1C02" w:rsidR="006004D0" w:rsidRPr="006004D0" w:rsidRDefault="00343393" w:rsidP="00CA2628">
      <w:pPr>
        <w:pStyle w:val="Heading1"/>
      </w:pPr>
      <w:bookmarkStart w:id="13" w:name="_Toc17788947"/>
      <w:r>
        <w:lastRenderedPageBreak/>
        <w:t>BACKGROUND</w:t>
      </w:r>
      <w:bookmarkEnd w:id="13"/>
    </w:p>
    <w:p w14:paraId="4F17BC01" w14:textId="55CD11CD" w:rsidR="008931D4" w:rsidRPr="00F315D4" w:rsidRDefault="00AE6EDA" w:rsidP="001510AE">
      <w:pPr>
        <w:tabs>
          <w:tab w:val="left" w:pos="720"/>
        </w:tabs>
        <w:spacing w:after="220"/>
        <w:rPr>
          <w:sz w:val="22"/>
          <w:szCs w:val="22"/>
        </w:rPr>
      </w:pPr>
      <w:r w:rsidRPr="00F315D4">
        <w:rPr>
          <w:sz w:val="22"/>
          <w:szCs w:val="22"/>
        </w:rPr>
        <w:t>Opioid overdose rates have inc</w:t>
      </w:r>
      <w:r w:rsidR="00430E5F" w:rsidRPr="00F315D4">
        <w:rPr>
          <w:sz w:val="22"/>
          <w:szCs w:val="22"/>
        </w:rPr>
        <w:t>reased</w:t>
      </w:r>
      <w:r w:rsidR="00CE50EA" w:rsidRPr="00F315D4">
        <w:rPr>
          <w:sz w:val="22"/>
          <w:szCs w:val="22"/>
        </w:rPr>
        <w:t xml:space="preserve"> dramatically since the turn of the century </w:t>
      </w:r>
      <w:r w:rsidR="00430E5F" w:rsidRPr="00F315D4">
        <w:rPr>
          <w:sz w:val="22"/>
          <w:szCs w:val="22"/>
        </w:rPr>
        <w:t>and have continued to rise</w:t>
      </w:r>
      <w:r w:rsidR="00D807F0" w:rsidRPr="00F315D4">
        <w:rPr>
          <w:sz w:val="22"/>
          <w:szCs w:val="22"/>
        </w:rPr>
        <w:t xml:space="preserve"> in recent years.</w:t>
      </w:r>
      <w:r w:rsidR="0047665A" w:rsidRPr="00F315D4">
        <w:rPr>
          <w:sz w:val="22"/>
          <w:szCs w:val="22"/>
        </w:rPr>
        <w:fldChar w:fldCharType="begin" w:fldLock="1"/>
      </w:r>
      <w:r w:rsidR="00415568" w:rsidRPr="00F315D4">
        <w:rPr>
          <w:sz w:val="22"/>
          <w:szCs w:val="22"/>
        </w:rPr>
        <w:instrText>ADDIN CSL_CITATION {"citationItems":[{"id":"ITEM-1","itemData":{"DOI":"10.1056/nejmp1402780","ISSN":"0028-4793","abstract":"In any field, improving performance and accountability depends on having a shared goal that unites the interests and activities of all stakeholders. In health care, however, stakeholders have myriad, often conflicting goals, including access to services, profitability, high quality, cost containment, safety, convenience, patient-centeredness, and satisfaction. Lack of clarity about goals has led to divergent approaches, gaming of the system, and slow progress in performance improvement. Achieving high value for patients must become the overarching goal of health care delivery, with value defined as the health outcomes achieved per dollar spent.(1) This goal is what matters for patients and unites . . .","author":[{"dropping-particle":"","family":"Volkow","given":"Nora D.","non-dropping-particle":"","parse-names":false,"suffix":""},{"dropping-particle":"","family":"Frieden","given":"Thomas R.","non-dropping-particle":"","parse-names":false,"suffix":""},{"dropping-particle":"","family":"Hyde","given":"Pamela S.","non-dropping-particle":"","parse-names":false,"suffix":""},{"dropping-particle":"","family":"Cha","given":"Stephen S.","non-dropping-particle":"","parse-names":false,"suffix":""}],"container-title":"New England Journal of Medicine","id":"ITEM-1","issue":"22","issued":{"date-parts":[["2014"]]},"page":"2063-2066","title":"Medication-Assisted Therapies — Tackling the Opioid-Overdose Epidemic","type":"article-journal","volume":"370"},"uris":["http://www.mendeley.com/documents/?uuid=2e2369bf-3d59-4cc0-a24f-9e6bcef1046c"]},{"id":"ITEM-2","itemData":{"DOI":"10.1111/ajt.13776","ISSN":"1600-6143","author":[{"dropping-particle":"","family":"Rudd","given":"R A","non-dropping-particle":"","parse-names":false,"suffix":""},{"dropping-particle":"","family":"Aleshire","given":"N","non-dropping-particle":"","parse-names":false,"suffix":""},{"dropping-particle":"","family":"Zibbell","given":"J E","non-dropping-particle":"","parse-names":false,"suffix":""},{"dropping-particle":"","family":"Gladden","given":"R Matthew","non-dropping-particle":"","parse-names":false,"suffix":""}],"container-title":"Morbidity and Mortality Weekly Report (MMWR)","id":"ITEM-2","issue":"50","issued":{"date-parts":[["2016"]]},"page":"1378-1382","title":"Increases in Drug and Opioid Overdose Deaths—United States, 2000–2014","type":"article-journal","volume":"64"},"uris":["http://www.mendeley.com/documents/?uuid=8e4ca505-a93f-44c9-b507-84b4bd4e163f"]},{"id":"ITEM-3","itemData":{"DOI":"10.2105/AJPH.2014.302367?journalCode=ajph","ISBN":"1545-861X (Electronic)\\r0149-2195 (Linking)","ISSN":"0149-2195","PMID":"28033313","author":[{"dropping-particle":"","family":"Rudd","given":"Rose A","non-dropping-particle":"","parse-names":false,"suffix":""},{"dropping-particle":"","family":"Seth","given":"Puja","non-dropping-particle":"","parse-names":false,"suffix":""},{"dropping-particle":"","family":"David","given":"Felicita","non-dropping-particle":"","parse-names":false,"suffix":""},{"dropping-particle":"","family":"Scholl","given":"Lawrence","non-dropping-particle":"","parse-names":false,"suffix":""}],"container-title":"Morbidity and Mortality Weekly Report (MMWR)","id":"ITEM-3","issue":"50-51","issued":{"date-parts":[["2016"]]},"page":"1445-1452","title":"Increases in Drug and Opioid-Involved Overdose Deaths — United States, 2010–2015","type":"article-journal","volume":"65"},"uris":["http://www.mendeley.com/documents/?uuid=3c02ef19-66a7-48bb-b95a-c0c5211eef8b"]}],"mendeley":{"formattedCitation":"&lt;sup&gt;1–3&lt;/sup&gt;","plainTextFormattedCitation":"1–3","previouslyFormattedCitation":"&lt;sup&gt;1–3&lt;/sup&gt;"},"properties":{"noteIndex":0},"schema":"https://github.com/citation-style-language/schema/raw/master/csl-citation.json"}</w:instrText>
      </w:r>
      <w:r w:rsidR="0047665A" w:rsidRPr="00F315D4">
        <w:rPr>
          <w:sz w:val="22"/>
          <w:szCs w:val="22"/>
        </w:rPr>
        <w:fldChar w:fldCharType="separate"/>
      </w:r>
      <w:r w:rsidR="005B44E3" w:rsidRPr="00F315D4">
        <w:rPr>
          <w:noProof/>
          <w:sz w:val="22"/>
          <w:szCs w:val="22"/>
          <w:vertAlign w:val="superscript"/>
        </w:rPr>
        <w:t>1–3</w:t>
      </w:r>
      <w:r w:rsidR="0047665A" w:rsidRPr="00F315D4">
        <w:rPr>
          <w:sz w:val="22"/>
          <w:szCs w:val="22"/>
        </w:rPr>
        <w:fldChar w:fldCharType="end"/>
      </w:r>
      <w:r w:rsidR="00875B28" w:rsidRPr="00F315D4">
        <w:rPr>
          <w:sz w:val="22"/>
          <w:szCs w:val="22"/>
        </w:rPr>
        <w:t xml:space="preserve"> </w:t>
      </w:r>
      <w:r w:rsidR="00562F47" w:rsidRPr="00F315D4">
        <w:rPr>
          <w:sz w:val="22"/>
          <w:szCs w:val="22"/>
        </w:rPr>
        <w:t>In 2010, opioid analgesic overdose deaths represented 75</w:t>
      </w:r>
      <w:r w:rsidR="00F315D4" w:rsidRPr="00F315D4">
        <w:rPr>
          <w:sz w:val="22"/>
          <w:szCs w:val="22"/>
        </w:rPr>
        <w:t xml:space="preserve"> percent</w:t>
      </w:r>
      <w:r w:rsidR="00562F47" w:rsidRPr="00F315D4">
        <w:rPr>
          <w:sz w:val="22"/>
          <w:szCs w:val="22"/>
        </w:rPr>
        <w:t xml:space="preserve"> of all pharmaceutical overdose deaths.</w:t>
      </w:r>
      <w:r w:rsidR="00415568" w:rsidRPr="00F315D4">
        <w:rPr>
          <w:sz w:val="22"/>
          <w:szCs w:val="22"/>
        </w:rPr>
        <w:t xml:space="preserve"> While opioid overdoses have been on the rise in general, overdoses from </w:t>
      </w:r>
      <w:r w:rsidR="00FC15BF" w:rsidRPr="00F315D4">
        <w:rPr>
          <w:sz w:val="22"/>
          <w:szCs w:val="22"/>
        </w:rPr>
        <w:t>illegally</w:t>
      </w:r>
      <w:r w:rsidR="00415568" w:rsidRPr="00F315D4">
        <w:rPr>
          <w:sz w:val="22"/>
          <w:szCs w:val="22"/>
        </w:rPr>
        <w:t xml:space="preserve"> produced fentanyl and synthetic opioid pain relievers are particularly on the rise.</w:t>
      </w:r>
      <w:r w:rsidR="00415568" w:rsidRPr="00F315D4">
        <w:rPr>
          <w:sz w:val="22"/>
          <w:szCs w:val="22"/>
        </w:rPr>
        <w:fldChar w:fldCharType="begin" w:fldLock="1"/>
      </w:r>
      <w:r w:rsidR="000C1B75" w:rsidRPr="00F315D4">
        <w:rPr>
          <w:sz w:val="22"/>
          <w:szCs w:val="22"/>
        </w:rPr>
        <w:instrText>ADDIN CSL_CITATION {"citationItems":[{"id":"ITEM-1","itemData":{"DOI":"10.1111/ajt.13776","ISSN":"1600-6143","author":[{"dropping-particle":"","family":"Rudd","given":"R A","non-dropping-particle":"","parse-names":false,"suffix":""},{"dropping-particle":"","family":"Aleshire","given":"N","non-dropping-particle":"","parse-names":false,"suffix":""},{"dropping-particle":"","family":"Zibbell","given":"J E","non-dropping-particle":"","parse-names":false,"suffix":""},{"dropping-particle":"","family":"Gladden","given":"R Matthew","non-dropping-particle":"","parse-names":false,"suffix":""}],"container-title":"Morbidity and Mortality Weekly Report (MMWR)","id":"ITEM-1","issue":"50","issued":{"date-parts":[["2016"]]},"page":"1378-1382","title":"Increases in Drug and Opioid Overdose Deaths—United States, 2000–2014","type":"article-journal","volume":"64"},"uris":["http://www.mendeley.com/documents/?uuid=8e4ca505-a93f-44c9-b507-84b4bd4e163f"]}],"mendeley":{"formattedCitation":"&lt;sup&gt;2&lt;/sup&gt;","plainTextFormattedCitation":"2","previouslyFormattedCitation":"&lt;sup&gt;2&lt;/sup&gt;"},"properties":{"noteIndex":0},"schema":"https://github.com/citation-style-language/schema/raw/master/csl-citation.json"}</w:instrText>
      </w:r>
      <w:r w:rsidR="00415568" w:rsidRPr="00F315D4">
        <w:rPr>
          <w:sz w:val="22"/>
          <w:szCs w:val="22"/>
        </w:rPr>
        <w:fldChar w:fldCharType="separate"/>
      </w:r>
      <w:r w:rsidR="00415568" w:rsidRPr="00F315D4">
        <w:rPr>
          <w:noProof/>
          <w:sz w:val="22"/>
          <w:szCs w:val="22"/>
          <w:vertAlign w:val="superscript"/>
        </w:rPr>
        <w:t>2</w:t>
      </w:r>
      <w:r w:rsidR="00415568" w:rsidRPr="00F315D4">
        <w:rPr>
          <w:sz w:val="22"/>
          <w:szCs w:val="22"/>
        </w:rPr>
        <w:fldChar w:fldCharType="end"/>
      </w:r>
      <w:r w:rsidR="00CE50EA" w:rsidRPr="00F315D4">
        <w:rPr>
          <w:sz w:val="22"/>
          <w:szCs w:val="22"/>
        </w:rPr>
        <w:t xml:space="preserve"> </w:t>
      </w:r>
      <w:r w:rsidR="00CE50EA" w:rsidRPr="00F315D4">
        <w:rPr>
          <w:sz w:val="22"/>
          <w:szCs w:val="22"/>
        </w:rPr>
        <w:tab/>
        <w:t>Opioid abusers</w:t>
      </w:r>
      <w:r w:rsidR="00EC45A6" w:rsidRPr="00F315D4">
        <w:rPr>
          <w:sz w:val="22"/>
          <w:szCs w:val="22"/>
        </w:rPr>
        <w:t xml:space="preserve"> accumulate 12 times the health care costs of a similar individual who does not abuse opioids.</w:t>
      </w:r>
      <w:r w:rsidR="008E7AB6" w:rsidRPr="00F315D4">
        <w:rPr>
          <w:sz w:val="22"/>
          <w:szCs w:val="22"/>
        </w:rPr>
        <w:fldChar w:fldCharType="begin" w:fldLock="1"/>
      </w:r>
      <w:r w:rsidR="008F45CC" w:rsidRPr="00F315D4">
        <w:rPr>
          <w:sz w:val="22"/>
          <w:szCs w:val="22"/>
        </w:rPr>
        <w:instrText>ADDIN CSL_CITATION {"citationItems":[{"id":"ITEM-1","itemData":{"author":[{"dropping-particle":"","family":"White","given":"Alan G","non-dropping-particle":"","parse-names":false,"suffix":""},{"dropping-particle":"","family":"Birnbaum","given":"Howard G","non-dropping-particle":"","parse-names":false,"suffix":""},{"dropping-particle":"","family":"Mareva","given":"Milena N","non-dropping-particle":"","parse-names":false,"suffix":""},{"dropping-particle":"","family":"Daher","given":"Maham","non-dropping-particle":"","parse-names":false,"suffix":""},{"dropping-particle":"","family":"Vallow","given":"Susan","non-dropping-particle":"","parse-names":false,"suffix":""},{"dropping-particle":"","family":"Schein","given":"Jeff","non-dropping-particle":"","parse-names":false,"suffix":""},{"dropping-particle":"","family":"Katz","given":"Nathaniel","non-dropping-particle":"","parse-names":false,"suffix":""}],"container-title":"Journal of Managed Care Pharmacy","id":"ITEM-1","issue":"6","issued":{"date-parts":[["2005"]]},"page":"469-479","title":"Direct Costs of Opioid Abuse in an Insured Population in the United States","type":"article-journal","volume":"11"},"uris":["http://www.mendeley.com/documents/?uuid=d6ef6544-a4d3-40bd-8e34-6ebe9749ce6e"]}],"mendeley":{"formattedCitation":"&lt;sup&gt;4&lt;/sup&gt;","plainTextFormattedCitation":"4","previouslyFormattedCitation":"&lt;sup&gt;4&lt;/sup&gt;"},"properties":{"noteIndex":0},"schema":"https://github.com/citation-style-language/schema/raw/master/csl-citation.json"}</w:instrText>
      </w:r>
      <w:r w:rsidR="008E7AB6" w:rsidRPr="00F315D4">
        <w:rPr>
          <w:sz w:val="22"/>
          <w:szCs w:val="22"/>
        </w:rPr>
        <w:fldChar w:fldCharType="separate"/>
      </w:r>
      <w:r w:rsidR="008E7AB6" w:rsidRPr="00F315D4">
        <w:rPr>
          <w:noProof/>
          <w:sz w:val="22"/>
          <w:szCs w:val="22"/>
          <w:vertAlign w:val="superscript"/>
        </w:rPr>
        <w:t>4</w:t>
      </w:r>
      <w:r w:rsidR="008E7AB6" w:rsidRPr="00F315D4">
        <w:rPr>
          <w:sz w:val="22"/>
          <w:szCs w:val="22"/>
        </w:rPr>
        <w:fldChar w:fldCharType="end"/>
      </w:r>
      <w:r w:rsidR="00812CCE" w:rsidRPr="00F315D4">
        <w:rPr>
          <w:sz w:val="22"/>
          <w:szCs w:val="22"/>
        </w:rPr>
        <w:t xml:space="preserve"> The cost to society</w:t>
      </w:r>
      <w:r w:rsidR="00E630F1" w:rsidRPr="00F315D4">
        <w:rPr>
          <w:sz w:val="22"/>
          <w:szCs w:val="22"/>
        </w:rPr>
        <w:t xml:space="preserve"> in the United States</w:t>
      </w:r>
      <w:r w:rsidR="00F315D4" w:rsidRPr="00F315D4">
        <w:rPr>
          <w:sz w:val="22"/>
          <w:szCs w:val="22"/>
        </w:rPr>
        <w:t xml:space="preserve"> (U.S.)</w:t>
      </w:r>
      <w:r w:rsidR="00E630F1" w:rsidRPr="00F315D4">
        <w:rPr>
          <w:sz w:val="22"/>
          <w:szCs w:val="22"/>
        </w:rPr>
        <w:t xml:space="preserve"> from opioid abuse</w:t>
      </w:r>
      <w:r w:rsidR="00812CCE" w:rsidRPr="00F315D4">
        <w:rPr>
          <w:sz w:val="22"/>
          <w:szCs w:val="22"/>
        </w:rPr>
        <w:t xml:space="preserve"> through </w:t>
      </w:r>
      <w:r w:rsidR="006B473B" w:rsidRPr="00F315D4">
        <w:rPr>
          <w:sz w:val="22"/>
          <w:szCs w:val="22"/>
        </w:rPr>
        <w:t>increased health</w:t>
      </w:r>
      <w:r w:rsidR="00F315D4" w:rsidRPr="00F315D4">
        <w:rPr>
          <w:sz w:val="22"/>
          <w:szCs w:val="22"/>
        </w:rPr>
        <w:t xml:space="preserve"> </w:t>
      </w:r>
      <w:r w:rsidR="006B473B" w:rsidRPr="00F315D4">
        <w:rPr>
          <w:sz w:val="22"/>
          <w:szCs w:val="22"/>
        </w:rPr>
        <w:t>care, workplace, and criminal justice costs was estimated as $</w:t>
      </w:r>
      <w:r w:rsidR="00102396" w:rsidRPr="00F315D4">
        <w:rPr>
          <w:sz w:val="22"/>
          <w:szCs w:val="22"/>
        </w:rPr>
        <w:t>66</w:t>
      </w:r>
      <w:r w:rsidR="006B473B" w:rsidRPr="00F315D4">
        <w:rPr>
          <w:sz w:val="22"/>
          <w:szCs w:val="22"/>
        </w:rPr>
        <w:t>.</w:t>
      </w:r>
      <w:r w:rsidR="00102396" w:rsidRPr="00F315D4">
        <w:rPr>
          <w:sz w:val="22"/>
          <w:szCs w:val="22"/>
        </w:rPr>
        <w:t>5 billion (2019 dollars)</w:t>
      </w:r>
      <w:r w:rsidR="006B473B" w:rsidRPr="00F315D4">
        <w:rPr>
          <w:sz w:val="22"/>
          <w:szCs w:val="22"/>
        </w:rPr>
        <w:t xml:space="preserve"> in 2007</w:t>
      </w:r>
      <w:r w:rsidR="00ED01F3" w:rsidRPr="00F315D4">
        <w:rPr>
          <w:sz w:val="22"/>
          <w:szCs w:val="22"/>
        </w:rPr>
        <w:t>.</w:t>
      </w:r>
      <w:r w:rsidR="00E630F1" w:rsidRPr="00F315D4">
        <w:rPr>
          <w:sz w:val="22"/>
          <w:szCs w:val="22"/>
        </w:rPr>
        <w:t xml:space="preserve"> This number has likely only increased with the </w:t>
      </w:r>
      <w:r w:rsidR="00577CE6" w:rsidRPr="00F315D4">
        <w:rPr>
          <w:sz w:val="22"/>
          <w:szCs w:val="22"/>
        </w:rPr>
        <w:t>increase in opioid abuse in the U</w:t>
      </w:r>
      <w:r w:rsidR="006F5DE9" w:rsidRPr="00F315D4">
        <w:rPr>
          <w:sz w:val="22"/>
          <w:szCs w:val="22"/>
        </w:rPr>
        <w:t>.</w:t>
      </w:r>
      <w:r w:rsidR="00577CE6" w:rsidRPr="00F315D4">
        <w:rPr>
          <w:sz w:val="22"/>
          <w:szCs w:val="22"/>
        </w:rPr>
        <w:t>S.</w:t>
      </w:r>
    </w:p>
    <w:p w14:paraId="37B69EEA" w14:textId="3CDECDDB" w:rsidR="003E74D4" w:rsidRPr="00F315D4" w:rsidRDefault="00706080" w:rsidP="001510AE">
      <w:pPr>
        <w:tabs>
          <w:tab w:val="left" w:pos="720"/>
        </w:tabs>
        <w:spacing w:after="220"/>
        <w:rPr>
          <w:sz w:val="22"/>
          <w:szCs w:val="22"/>
        </w:rPr>
      </w:pPr>
      <w:r w:rsidRPr="00F315D4">
        <w:rPr>
          <w:sz w:val="22"/>
          <w:szCs w:val="22"/>
        </w:rPr>
        <w:t>People</w:t>
      </w:r>
      <w:r w:rsidR="003E74D4" w:rsidRPr="00F315D4">
        <w:rPr>
          <w:sz w:val="22"/>
          <w:szCs w:val="22"/>
        </w:rPr>
        <w:t xml:space="preserve"> prescribed </w:t>
      </w:r>
      <w:r w:rsidR="00997B32" w:rsidRPr="00F315D4">
        <w:rPr>
          <w:sz w:val="22"/>
          <w:szCs w:val="22"/>
        </w:rPr>
        <w:t>higher doses of opioids compared to lower doses</w:t>
      </w:r>
      <w:r w:rsidR="003E74D4" w:rsidRPr="00F315D4">
        <w:rPr>
          <w:sz w:val="22"/>
          <w:szCs w:val="22"/>
        </w:rPr>
        <w:t xml:space="preserve"> for pain management are more likely to experience fatal and non-fatal opioid overdoses.</w:t>
      </w:r>
      <w:r w:rsidR="003E74D4" w:rsidRPr="00F315D4">
        <w:rPr>
          <w:sz w:val="22"/>
          <w:szCs w:val="22"/>
        </w:rPr>
        <w:fldChar w:fldCharType="begin" w:fldLock="1"/>
      </w:r>
      <w:r w:rsidR="008040A5">
        <w:rPr>
          <w:sz w:val="22"/>
          <w:szCs w:val="22"/>
        </w:rPr>
        <w:instrText>ADDIN CSL_CITATION {"citationItems":[{"id":"ITEM-1","itemData":{"DOI":"10.1059/0003-4819-152-2-201001190-00006.","ISBN":"0003-4819 (Print)\\r1539-3704 (Electronic)","PMID":"20083827","abstract":"Conclusions—Patients receiving higher doses of prescribed opioids are at increased risk of opioid overdose, underscoring the need for close supervision of these patients.","author":[{"dropping-particle":"","family":"Dunn","given":"Kate M","non-dropping-particle":"","parse-names":false,"suffix":""},{"dropping-particle":"","family":"Saunders","given":"Kathleen W","non-dropping-particle":"","parse-names":false,"suffix":""},{"dropping-particle":"","family":"Rutter","given":"Carolyn M","non-dropping-particle":"","parse-names":false,"suffix":""},{"dropping-particle":"","family":"Banta-Green","given":"Caleb J","non-dropping-particle":"","parse-names":false,"suffix":""},{"dropping-particle":"","family":"Merrill","given":"Joseph O","non-dropping-particle":"","parse-names":false,"suffix":""},{"dropping-particle":"","family":"Sullivan","given":"Mark D","non-dropping-particle":"","parse-names":false,"suffix":""},{"dropping-particle":"","family":"Weisner","given":"Constance M","non-dropping-particle":"","parse-names":false,"suffix":""},{"dropping-particle":"","family":"Silverberg","given":"Michael J","non-dropping-particle":"","parse-names":false,"suffix":""},{"dropping-particle":"","family":"Campbell","given":"Cynthia I","non-dropping-particle":"","parse-names":false,"suffix":""},{"dropping-particle":"","family":"Psaty","given":"Bruce M","non-dropping-particle":"","parse-names":false,"suffix":""},{"dropping-particle":"","family":"Korff","given":"Michael","non-dropping-particle":"Von","parse-names":false,"suffix":""}],"container-title":"Annals of Internal Medicine","id":"ITEM-1","issue":"2","issued":{"date-parts":[["2010"]]},"page":"85-92","title":"Overdose and prescribed opioids: Associations among chronic non-cancer pain patients","type":"article-journal","volume":"152"},"uris":["http://www.mendeley.com/documents/?uuid=3f1394b4-7a6f-4cf2-a339-8cdd5c989f26"]},{"id":"ITEM-2","itemData":{"author":[{"dropping-particle":"","family":"Bohnert","given":"Amy SB","non-dropping-particle":"","parse-names":false,"suffix":""},{"dropping-particle":"","family":"Valenstein","given":"Marcia","non-dropping-particle":"","parse-names":false,"suffix":""},{"dropping-particle":"","family":"Bair","given":"Matthew J","non-dropping-particle":"","parse-names":false,"suffix":""},{"dropping-particle":"","family":"Ganoczy","given":"Dara","non-dropping-particle":"","parse-names":false,"suffix":""},{"dropping-particle":"","family":"McCarthy","given":"John F","non-dropping-particle":"","parse-names":false,"suffix":""},{"dropping-particle":"","family":"Ilgen","given":"Mark A","non-dropping-particle":"","parse-names":false,"suffix":""},{"dropping-particle":"","family":"Blow","given":"Frederic C","non-dropping-particle":"","parse-names":false,"suffix":""}],"container-title":"Journal of the American Medical Association","id":"ITEM-2","issue":"13","issued":{"date-parts":[["2011"]]},"page":"1315-1321","title":"Association Between Opioid Prescribing Patterns and Opioid Overdose-Related Deaths","type":"article-journal","volume":"305"},"uris":["http://www.mendeley.com/documents/?uuid=a74a8c23-00dd-48f0-b530-12f1edde0d62"]}],"mendeley":{"formattedCitation":"&lt;sup&gt;5,6&lt;/sup&gt;","plainTextFormattedCitation":"5,6","previouslyFormattedCitation":"&lt;sup&gt;5,6&lt;/sup&gt;"},"properties":{"noteIndex":0},"schema":"https://github.com/citation-style-language/schema/raw/master/csl-citation.json"}</w:instrText>
      </w:r>
      <w:r w:rsidR="003E74D4" w:rsidRPr="00F315D4">
        <w:rPr>
          <w:sz w:val="22"/>
          <w:szCs w:val="22"/>
        </w:rPr>
        <w:fldChar w:fldCharType="separate"/>
      </w:r>
      <w:r w:rsidR="008E7AB6" w:rsidRPr="00F315D4">
        <w:rPr>
          <w:noProof/>
          <w:sz w:val="22"/>
          <w:szCs w:val="22"/>
          <w:vertAlign w:val="superscript"/>
        </w:rPr>
        <w:t>5,6</w:t>
      </w:r>
      <w:r w:rsidR="003E74D4" w:rsidRPr="00F315D4">
        <w:rPr>
          <w:sz w:val="22"/>
          <w:szCs w:val="22"/>
        </w:rPr>
        <w:fldChar w:fldCharType="end"/>
      </w:r>
      <w:r w:rsidR="003E74D4" w:rsidRPr="00F315D4">
        <w:rPr>
          <w:sz w:val="22"/>
          <w:szCs w:val="22"/>
        </w:rPr>
        <w:t xml:space="preserve"> These relationships hold even after controlling for demographic and health factors.</w:t>
      </w:r>
      <w:r w:rsidR="000D292A" w:rsidRPr="00F315D4">
        <w:rPr>
          <w:sz w:val="22"/>
          <w:szCs w:val="22"/>
        </w:rPr>
        <w:t xml:space="preserve"> Previous data from </w:t>
      </w:r>
      <w:r w:rsidR="005024E4" w:rsidRPr="00F315D4">
        <w:rPr>
          <w:sz w:val="22"/>
          <w:szCs w:val="22"/>
        </w:rPr>
        <w:t>Florida’s opioid overdose surveillance system reported 1,121 fatal opioid overdoses for the second half of 2017. The same data showed that men, adults ages 25</w:t>
      </w:r>
      <w:r w:rsidR="003B0806" w:rsidRPr="00F315D4">
        <w:rPr>
          <w:sz w:val="22"/>
          <w:szCs w:val="22"/>
        </w:rPr>
        <w:t>–3</w:t>
      </w:r>
      <w:r w:rsidR="005024E4" w:rsidRPr="00F315D4">
        <w:rPr>
          <w:sz w:val="22"/>
          <w:szCs w:val="22"/>
        </w:rPr>
        <w:t>4, and whites were most likely to fatally overdose on opioids.</w:t>
      </w:r>
      <w:r w:rsidR="00067E47" w:rsidRPr="00F315D4">
        <w:rPr>
          <w:sz w:val="22"/>
          <w:szCs w:val="22"/>
        </w:rPr>
        <w:fldChar w:fldCharType="begin" w:fldLock="1"/>
      </w:r>
      <w:r w:rsidR="004D5A03" w:rsidRPr="00F315D4">
        <w:rPr>
          <w:sz w:val="22"/>
          <w:szCs w:val="22"/>
        </w:rPr>
        <w:instrText>ADDIN CSL_CITATION {"citationItems":[{"id":"ITEM-1","itemData":{"author":[{"dropping-particle":"","family":"Florida Department of Health","given":"","non-dropping-particle":"","parse-names":false,"suffix":""}],"id":"ITEM-1","issued":{"date-parts":[["2017"]]},"number-of-pages":"1-30","publisher-place":"Tallahassee, FL","title":"Fatal Opioid Overdose Surveillance: Florida 2017 Q3-Q4","type":"report"},"uris":["http://www.mendeley.com/documents/?uuid=47b15d7d-8509-4c8e-b1ad-24b2747c7b4d"]}],"mendeley":{"formattedCitation":"&lt;sup&gt;7&lt;/sup&gt;","plainTextFormattedCitation":"7","previouslyFormattedCitation":"&lt;sup&gt;7&lt;/sup&gt;"},"properties":{"noteIndex":0},"schema":"https://github.com/citation-style-language/schema/raw/master/csl-citation.json"}</w:instrText>
      </w:r>
      <w:r w:rsidR="00067E47" w:rsidRPr="00F315D4">
        <w:rPr>
          <w:sz w:val="22"/>
          <w:szCs w:val="22"/>
        </w:rPr>
        <w:fldChar w:fldCharType="separate"/>
      </w:r>
      <w:r w:rsidR="00067E47" w:rsidRPr="00F315D4">
        <w:rPr>
          <w:noProof/>
          <w:sz w:val="22"/>
          <w:szCs w:val="22"/>
          <w:vertAlign w:val="superscript"/>
        </w:rPr>
        <w:t>7</w:t>
      </w:r>
      <w:r w:rsidR="00067E47" w:rsidRPr="00F315D4">
        <w:rPr>
          <w:sz w:val="22"/>
          <w:szCs w:val="22"/>
        </w:rPr>
        <w:fldChar w:fldCharType="end"/>
      </w:r>
      <w:r w:rsidR="005024E4" w:rsidRPr="00F315D4">
        <w:rPr>
          <w:sz w:val="22"/>
          <w:szCs w:val="22"/>
        </w:rPr>
        <w:t xml:space="preserve"> </w:t>
      </w:r>
      <w:r w:rsidR="000B5756" w:rsidRPr="00F315D4">
        <w:rPr>
          <w:sz w:val="22"/>
          <w:szCs w:val="22"/>
        </w:rPr>
        <w:t>Duval, Palm Beach, and Lee counties previously had the highest rates of fatal opioid overdoses.</w:t>
      </w:r>
      <w:r w:rsidR="00067E47" w:rsidRPr="00F315D4">
        <w:rPr>
          <w:sz w:val="22"/>
          <w:szCs w:val="22"/>
        </w:rPr>
        <w:fldChar w:fldCharType="begin" w:fldLock="1"/>
      </w:r>
      <w:r w:rsidR="004D5A03" w:rsidRPr="00F315D4">
        <w:rPr>
          <w:sz w:val="22"/>
          <w:szCs w:val="22"/>
        </w:rPr>
        <w:instrText>ADDIN CSL_CITATION {"citationItems":[{"id":"ITEM-1","itemData":{"author":[{"dropping-particle":"","family":"Florida Department of Health","given":"","non-dropping-particle":"","parse-names":false,"suffix":""}],"id":"ITEM-1","issued":{"date-parts":[["2017"]]},"number-of-pages":"1-30","publisher-place":"Tallahassee, FL","title":"Fatal Opioid Overdose Surveillance: Florida 2017 Q3-Q4","type":"report"},"uris":["http://www.mendeley.com/documents/?uuid=47b15d7d-8509-4c8e-b1ad-24b2747c7b4d"]}],"mendeley":{"formattedCitation":"&lt;sup&gt;7&lt;/sup&gt;","plainTextFormattedCitation":"7","previouslyFormattedCitation":"&lt;sup&gt;7&lt;/sup&gt;"},"properties":{"noteIndex":0},"schema":"https://github.com/citation-style-language/schema/raw/master/csl-citation.json"}</w:instrText>
      </w:r>
      <w:r w:rsidR="00067E47" w:rsidRPr="00F315D4">
        <w:rPr>
          <w:sz w:val="22"/>
          <w:szCs w:val="22"/>
        </w:rPr>
        <w:fldChar w:fldCharType="separate"/>
      </w:r>
      <w:r w:rsidR="00067E47" w:rsidRPr="00F315D4">
        <w:rPr>
          <w:noProof/>
          <w:sz w:val="22"/>
          <w:szCs w:val="22"/>
          <w:vertAlign w:val="superscript"/>
        </w:rPr>
        <w:t>7</w:t>
      </w:r>
      <w:r w:rsidR="00067E47" w:rsidRPr="00F315D4">
        <w:rPr>
          <w:sz w:val="22"/>
          <w:szCs w:val="22"/>
        </w:rPr>
        <w:fldChar w:fldCharType="end"/>
      </w:r>
    </w:p>
    <w:p w14:paraId="76E0E63C" w14:textId="15D85AC5" w:rsidR="001B1C89" w:rsidRPr="00F315D4" w:rsidRDefault="00475A5D" w:rsidP="001510AE">
      <w:pPr>
        <w:shd w:val="clear" w:color="auto" w:fill="auto"/>
        <w:tabs>
          <w:tab w:val="clear" w:pos="720"/>
          <w:tab w:val="clear" w:pos="9360"/>
        </w:tabs>
        <w:autoSpaceDE w:val="0"/>
        <w:autoSpaceDN w:val="0"/>
        <w:adjustRightInd w:val="0"/>
        <w:spacing w:after="220"/>
        <w:rPr>
          <w:b/>
          <w:color w:val="231F20"/>
          <w:sz w:val="22"/>
          <w:szCs w:val="22"/>
        </w:rPr>
      </w:pPr>
      <w:r w:rsidRPr="00F315D4">
        <w:rPr>
          <w:color w:val="231F20"/>
          <w:sz w:val="22"/>
          <w:szCs w:val="22"/>
        </w:rPr>
        <w:t xml:space="preserve">Naloxone is a medication </w:t>
      </w:r>
      <w:r w:rsidR="00B95A6C" w:rsidRPr="00F315D4">
        <w:rPr>
          <w:color w:val="231F20"/>
          <w:sz w:val="22"/>
          <w:szCs w:val="22"/>
        </w:rPr>
        <w:t xml:space="preserve">that can reverse </w:t>
      </w:r>
      <w:r w:rsidR="006266D8" w:rsidRPr="00F315D4">
        <w:rPr>
          <w:color w:val="231F20"/>
          <w:sz w:val="22"/>
          <w:szCs w:val="22"/>
        </w:rPr>
        <w:t xml:space="preserve">the fatal effects of </w:t>
      </w:r>
      <w:r w:rsidR="00B95A6C" w:rsidRPr="00F315D4">
        <w:rPr>
          <w:color w:val="231F20"/>
          <w:sz w:val="22"/>
          <w:szCs w:val="22"/>
        </w:rPr>
        <w:t>an overdose</w:t>
      </w:r>
      <w:r w:rsidR="00433988" w:rsidRPr="00F315D4">
        <w:rPr>
          <w:color w:val="231F20"/>
          <w:sz w:val="22"/>
          <w:szCs w:val="22"/>
        </w:rPr>
        <w:t>,</w:t>
      </w:r>
      <w:r w:rsidR="00B95A6C" w:rsidRPr="00F315D4">
        <w:rPr>
          <w:color w:val="231F20"/>
          <w:sz w:val="22"/>
          <w:szCs w:val="22"/>
        </w:rPr>
        <w:t xml:space="preserve"> </w:t>
      </w:r>
      <w:r w:rsidR="006266D8" w:rsidRPr="00F315D4">
        <w:rPr>
          <w:color w:val="231F20"/>
          <w:sz w:val="22"/>
          <w:szCs w:val="22"/>
        </w:rPr>
        <w:t xml:space="preserve">such as </w:t>
      </w:r>
      <w:r w:rsidR="00CC6C44" w:rsidRPr="00F315D4">
        <w:rPr>
          <w:color w:val="231F20"/>
          <w:sz w:val="22"/>
          <w:szCs w:val="22"/>
        </w:rPr>
        <w:t xml:space="preserve">failed breathing and loss of </w:t>
      </w:r>
      <w:r w:rsidR="0011541F" w:rsidRPr="00F315D4">
        <w:rPr>
          <w:color w:val="231F20"/>
          <w:sz w:val="22"/>
          <w:szCs w:val="22"/>
        </w:rPr>
        <w:t>consciousness</w:t>
      </w:r>
      <w:r w:rsidR="008F45CC" w:rsidRPr="00F315D4">
        <w:rPr>
          <w:color w:val="231F20"/>
          <w:sz w:val="22"/>
          <w:szCs w:val="22"/>
        </w:rPr>
        <w:t>.</w:t>
      </w:r>
      <w:r w:rsidR="008F45CC" w:rsidRPr="00F315D4">
        <w:rPr>
          <w:color w:val="231F20"/>
          <w:sz w:val="22"/>
          <w:szCs w:val="22"/>
        </w:rPr>
        <w:fldChar w:fldCharType="begin" w:fldLock="1"/>
      </w:r>
      <w:r w:rsidR="004D5A03" w:rsidRPr="00F315D4">
        <w:rPr>
          <w:color w:val="231F20"/>
          <w:sz w:val="22"/>
          <w:szCs w:val="22"/>
        </w:rPr>
        <w:instrText>ADDIN CSL_CITATION {"citationItems":[{"id":"ITEM-1","itemData":{"DOI":"https://doi.org/10.26616/NIOSHPUB2019101","author":[{"dropping-particle":"","family":"Centers for Disease Control and Prevention (CDC)","given":"","non-dropping-particle":"","parse-names":false,"suffix":""}],"id":"ITEM-1","issued":{"date-parts":[["2018"]]},"number-of-pages":"1-6","title":"Using Naloxone to Reverse Opioid Overdose in the Workplace: Information for Employers and Workers","type":"report"},"uris":["http://www.mendeley.com/documents/?uuid=f5fe8001-fc6a-43c0-b337-bf6281a77ec1"]}],"mendeley":{"formattedCitation":"&lt;sup&gt;8&lt;/sup&gt;","plainTextFormattedCitation":"8","previouslyFormattedCitation":"&lt;sup&gt;8&lt;/sup&gt;"},"properties":{"noteIndex":0},"schema":"https://github.com/citation-style-language/schema/raw/master/csl-citation.json"}</w:instrText>
      </w:r>
      <w:r w:rsidR="008F45CC" w:rsidRPr="00F315D4">
        <w:rPr>
          <w:color w:val="231F20"/>
          <w:sz w:val="22"/>
          <w:szCs w:val="22"/>
        </w:rPr>
        <w:fldChar w:fldCharType="separate"/>
      </w:r>
      <w:r w:rsidR="00067E47" w:rsidRPr="00F315D4">
        <w:rPr>
          <w:noProof/>
          <w:color w:val="231F20"/>
          <w:sz w:val="22"/>
          <w:szCs w:val="22"/>
          <w:vertAlign w:val="superscript"/>
        </w:rPr>
        <w:t>8</w:t>
      </w:r>
      <w:r w:rsidR="008F45CC" w:rsidRPr="00F315D4">
        <w:rPr>
          <w:color w:val="231F20"/>
          <w:sz w:val="22"/>
          <w:szCs w:val="22"/>
        </w:rPr>
        <w:fldChar w:fldCharType="end"/>
      </w:r>
      <w:r w:rsidR="00B95A6C" w:rsidRPr="00F315D4">
        <w:rPr>
          <w:color w:val="231F20"/>
          <w:sz w:val="22"/>
          <w:szCs w:val="22"/>
        </w:rPr>
        <w:t xml:space="preserve"> Naloxone has </w:t>
      </w:r>
      <w:r w:rsidRPr="00F315D4">
        <w:rPr>
          <w:color w:val="231F20"/>
          <w:sz w:val="22"/>
          <w:szCs w:val="22"/>
        </w:rPr>
        <w:t>been distributed in many states</w:t>
      </w:r>
      <w:r w:rsidR="001D0B89" w:rsidRPr="00F315D4">
        <w:rPr>
          <w:color w:val="231F20"/>
          <w:sz w:val="22"/>
          <w:szCs w:val="22"/>
        </w:rPr>
        <w:t xml:space="preserve"> to medical professionals, and even to lay individuals in some states.</w:t>
      </w:r>
      <w:r w:rsidR="00D71630" w:rsidRPr="00F315D4">
        <w:rPr>
          <w:color w:val="231F20"/>
          <w:sz w:val="22"/>
          <w:szCs w:val="22"/>
        </w:rPr>
        <w:fldChar w:fldCharType="begin" w:fldLock="1"/>
      </w:r>
      <w:r w:rsidR="004D5A03" w:rsidRPr="00F315D4">
        <w:rPr>
          <w:color w:val="231F20"/>
          <w:sz w:val="22"/>
          <w:szCs w:val="22"/>
        </w:rPr>
        <w:instrText>ADDIN CSL_CITATION {"citationItems":[{"id":"ITEM-1","itemData":{"abstract":"Drug overdose death rates have increased steadily in the United States since 1979. In 2008, a total of 36,450 drug overdose deaths (i.e., unintentional, intentional [suicide or homicide], or undetermined intent) were reported, with prescription opioid analgesics (e.g., oxycodone, hydrocodone, and methadone), cocaine, and heroin the drugs most commonly involved (1). Since the mid-1990s, community-based programs have offered opioid overdose prevention services to persons who use drugs, their families and friends, and service providers. Since 1996, an increasing number of these programs have provided the opioid antagonist naloxone hydrochloride, the treatment of choice to reverse the potentially fatal respiratory depression caused by overdose of heroin and other opioids (2). Naloxone has no effect on non-opioid overdoses (e.g., cocaine, benzodiazepines, or alcohol) (3). In October 2010, the Harm Reduction Coalition, a national advocacy and capacity-building organization, surveyed 50 programs known to distribute naloxone in the United States, to collect data on local program locations, naloxone distribution, and overdose reversals. This report summarizes the findings for the 48 programs that completed the survey and the 188 local programs represented by the responses. Since the first opioid overdose prevention program began distributing naloxone in 1996, the respondent programs reported training and distributing naloxone to 53,032 persons and receiving reports of 10,171 overdose reversals. Providing opioid overdose education and naloxone to persons who use drugs and to persons who might be present at an opioid overdose can help reduce opioid overdose mortality, a rapidly growing public health concern. Overdose is common among persons who use opioids, including heroin users. In a 2002– 2004 study of 329 drug users, 82% said they had used heroin, 64.6% had witnessed a drug overdose, and 34.6% had experienced an unintentional drug overdose (4). In 1996, community-based programs began offering naloxone and other opioid overdose prevention services to persons who use drugs, their families and friends, and service providers (e.g., Corresponding contributor: Eliza Wheeler, wheeler@harmreduction.org, 510-444-6969.","author":[{"dropping-particle":"","family":"Wheeler","given":"Eliza","non-dropping-particle":"","parse-names":false,"suffix":""},{"dropping-particle":"","family":"Davidson","given":"Peter J","non-dropping-particle":"","parse-names":false,"suffix":""},{"dropping-particle":"","family":"Jones","given":"T Stephen","non-dropping-particle":"","parse-names":false,"suffix":""},{"dropping-particle":"","family":"Irwin","given":"Kevin S","non-dropping-particle":"","parse-names":false,"suffix":""}],"container-title":"MMWR Morb Mortal Wkly Rep","id":"ITEM-1","issue":"6","issued":{"date-parts":[["2012"]]},"page":"101-105","title":"Community-Based Opioid Overdose Prevention Programs Providing Naloxone — United States, 2010 Drug Overdose Prevention and Education (DOPE) Project, Harm Reduction Coalition, Oakland","type":"article-journal","volume":"61"},"uris":["http://www.mendeley.com/documents/?uuid=596bebc3-d1dc-4308-abc7-1600ee6c13e7"]}],"mendeley":{"formattedCitation":"&lt;sup&gt;9&lt;/sup&gt;","plainTextFormattedCitation":"9","previouslyFormattedCitation":"&lt;sup&gt;9&lt;/sup&gt;"},"properties":{"noteIndex":0},"schema":"https://github.com/citation-style-language/schema/raw/master/csl-citation.json"}</w:instrText>
      </w:r>
      <w:r w:rsidR="00D71630" w:rsidRPr="00F315D4">
        <w:rPr>
          <w:color w:val="231F20"/>
          <w:sz w:val="22"/>
          <w:szCs w:val="22"/>
        </w:rPr>
        <w:fldChar w:fldCharType="separate"/>
      </w:r>
      <w:r w:rsidR="00067E47" w:rsidRPr="00F315D4">
        <w:rPr>
          <w:noProof/>
          <w:color w:val="231F20"/>
          <w:sz w:val="22"/>
          <w:szCs w:val="22"/>
          <w:vertAlign w:val="superscript"/>
        </w:rPr>
        <w:t>9</w:t>
      </w:r>
      <w:r w:rsidR="00D71630" w:rsidRPr="00F315D4">
        <w:rPr>
          <w:color w:val="231F20"/>
          <w:sz w:val="22"/>
          <w:szCs w:val="22"/>
        </w:rPr>
        <w:fldChar w:fldCharType="end"/>
      </w:r>
      <w:r w:rsidR="00750880" w:rsidRPr="00F315D4">
        <w:rPr>
          <w:color w:val="231F20"/>
          <w:sz w:val="22"/>
          <w:szCs w:val="22"/>
        </w:rPr>
        <w:t xml:space="preserve"> Distributing </w:t>
      </w:r>
      <w:r w:rsidR="004F072E" w:rsidRPr="00F315D4">
        <w:rPr>
          <w:color w:val="231F20"/>
          <w:sz w:val="22"/>
          <w:szCs w:val="22"/>
        </w:rPr>
        <w:t>n</w:t>
      </w:r>
      <w:r w:rsidR="00750880" w:rsidRPr="00F315D4">
        <w:rPr>
          <w:color w:val="231F20"/>
          <w:sz w:val="22"/>
          <w:szCs w:val="22"/>
        </w:rPr>
        <w:t>aloxone and training</w:t>
      </w:r>
      <w:r w:rsidR="00687FE1" w:rsidRPr="00F315D4">
        <w:rPr>
          <w:color w:val="231F20"/>
          <w:sz w:val="22"/>
          <w:szCs w:val="22"/>
        </w:rPr>
        <w:t xml:space="preserve"> </w:t>
      </w:r>
      <w:r w:rsidR="00433988" w:rsidRPr="00F315D4">
        <w:rPr>
          <w:color w:val="231F20"/>
          <w:sz w:val="22"/>
          <w:szCs w:val="22"/>
        </w:rPr>
        <w:t xml:space="preserve">lay people </w:t>
      </w:r>
      <w:r w:rsidR="00750880" w:rsidRPr="00F315D4">
        <w:rPr>
          <w:color w:val="231F20"/>
          <w:sz w:val="22"/>
          <w:szCs w:val="22"/>
        </w:rPr>
        <w:t>in its use</w:t>
      </w:r>
      <w:r w:rsidR="00687FE1" w:rsidRPr="00F315D4">
        <w:rPr>
          <w:color w:val="231F20"/>
          <w:sz w:val="22"/>
          <w:szCs w:val="22"/>
        </w:rPr>
        <w:t xml:space="preserve"> </w:t>
      </w:r>
      <w:r w:rsidR="00433988" w:rsidRPr="00F315D4">
        <w:rPr>
          <w:color w:val="231F20"/>
          <w:sz w:val="22"/>
          <w:szCs w:val="22"/>
        </w:rPr>
        <w:t>have</w:t>
      </w:r>
      <w:r w:rsidR="00750880" w:rsidRPr="00F315D4">
        <w:rPr>
          <w:color w:val="231F20"/>
          <w:sz w:val="22"/>
          <w:szCs w:val="22"/>
        </w:rPr>
        <w:t xml:space="preserve"> been</w:t>
      </w:r>
      <w:r w:rsidR="00FE6DE0" w:rsidRPr="00F315D4">
        <w:rPr>
          <w:color w:val="231F20"/>
          <w:sz w:val="22"/>
          <w:szCs w:val="22"/>
        </w:rPr>
        <w:t xml:space="preserve"> found to </w:t>
      </w:r>
      <w:r w:rsidR="00433988" w:rsidRPr="00F315D4">
        <w:rPr>
          <w:color w:val="231F20"/>
          <w:sz w:val="22"/>
          <w:szCs w:val="22"/>
        </w:rPr>
        <w:t xml:space="preserve">effectively </w:t>
      </w:r>
      <w:r w:rsidR="00FE6DE0" w:rsidRPr="00F315D4">
        <w:rPr>
          <w:color w:val="231F20"/>
          <w:sz w:val="22"/>
          <w:szCs w:val="22"/>
        </w:rPr>
        <w:t>reduc</w:t>
      </w:r>
      <w:r w:rsidR="00433988" w:rsidRPr="00F315D4">
        <w:rPr>
          <w:color w:val="231F20"/>
          <w:sz w:val="22"/>
          <w:szCs w:val="22"/>
        </w:rPr>
        <w:t>e</w:t>
      </w:r>
      <w:r w:rsidR="001B1C89" w:rsidRPr="00F315D4">
        <w:rPr>
          <w:color w:val="231F20"/>
          <w:sz w:val="22"/>
          <w:szCs w:val="22"/>
        </w:rPr>
        <w:t xml:space="preserve"> fatal opioid overdoses</w:t>
      </w:r>
      <w:r w:rsidR="00FE6DE0" w:rsidRPr="00F315D4">
        <w:rPr>
          <w:color w:val="231F20"/>
          <w:sz w:val="22"/>
          <w:szCs w:val="22"/>
        </w:rPr>
        <w:t xml:space="preserve"> and to be cost effective</w:t>
      </w:r>
      <w:r w:rsidR="001B1C89" w:rsidRPr="00F315D4">
        <w:rPr>
          <w:color w:val="231F20"/>
          <w:sz w:val="22"/>
          <w:szCs w:val="22"/>
        </w:rPr>
        <w:t>.</w:t>
      </w:r>
      <w:r w:rsidR="00B71835" w:rsidRPr="00F315D4">
        <w:rPr>
          <w:color w:val="231F20"/>
          <w:sz w:val="22"/>
          <w:szCs w:val="22"/>
        </w:rPr>
        <w:fldChar w:fldCharType="begin" w:fldLock="1"/>
      </w:r>
      <w:r w:rsidR="004D5A03" w:rsidRPr="00F315D4">
        <w:rPr>
          <w:color w:val="231F20"/>
          <w:sz w:val="22"/>
          <w:szCs w:val="22"/>
        </w:rPr>
        <w:instrText>ADDIN CSL_CITATION {"citationItems":[{"id":"ITEM-1","itemData":{"DOI":"10.1136/bmj.f174","ISSN":"17561833","abstract":"OBJECTIVE To evaluate the impact of state supported overdose education and nasal naloxone distribution (OEND) programs on rates of opioid related death from overdose and acute care utilization in Massachusetts. DESIGN Interrupted time series analysis of opioid related overdose death and acute care utilization rates from 2002 to 2009 comparing community-year strata with high and low rates of OEND implementation to those with no implementation. SETTING 19 Massachusetts communities (geographically distinct cities and towns) with at least five fatal opioid overdoses in each of the years 2004 to 2006. PARTICIPANTS OEND was implemented among opioid users at risk for overdose, social service agency staff, family, and friends of opioid users. INTERVENTION OEND programs equipped people at risk for overdose and bystanders with nasal naloxone rescue kits and trained them how to prevent, recognize, and respond to an overdose by engaging emergency medical services, providing rescue breathing, and delivering naloxone. MAIN OUTCOME MEASURES Adjusted rate ratios for annual deaths related to opioid overdose and utilization of acute care hospitals. RESULTS Among these communities, OEND programs trained 2912 potential bystanders who reported 327 rescues. Both community-year strata with 1-100 enrollments per 100,000 population (adjusted rate ratio 0.73, 95% confidence interval 0.57 to 0.91) and community-year strata with greater than 100 enrollments per 100,000 population (0.54, 0.39 to 0.76) had significantly reduced adjusted rate ratios compared with communities with no implementation. Differences in rates of acute care hospital utilization were not significant. CONCLUSIONS Opioid overdose death rates were reduced in communities where OEND was implemented. This study provides observational evidence that by training potential bystanders to prevent, recognize, and respond to opioid overdoses, OEND is an effective intervention.","author":[{"dropping-particle":"","family":"Walley","given":"Alexander Y.","non-dropping-particle":"","parse-names":false,"suffix":""},{"dropping-particle":"","family":"Xuan","given":"Ziming","non-dropping-particle":"","parse-names":false,"suffix":""},{"dropping-particle":"","family":"Hackman","given":"H. Holly","non-dropping-particle":"","parse-names":false,"suffix":""},{"dropping-particle":"","family":"Quinn","given":"Emily","non-dropping-particle":"","parse-names":false,"suffix":""},{"dropping-particle":"","family":"Doe-Simkins","given":"Maya","non-dropping-particle":"","parse-names":false,"suffix":""},{"dropping-particle":"","family":"Sorensen-Alawad","given":"Amy","non-dropping-particle":"","parse-names":false,"suffix":""},{"dropping-particle":"","family":"Ruiz","given":"Sarah","non-dropping-particle":"","parse-names":false,"suffix":""},{"dropping-particle":"","family":"Ozonoff","given":"Al","non-dropping-particle":"","parse-names":false,"suffix":""}],"container-title":"BMJ (Online)","id":"ITEM-1","issue":"f174","issued":{"date-parts":[["2013"]]},"page":"1-13","title":"Opioid overdose rates and implementation of overdose education and nasal naloxone distribution in Massachusetts: Interrupted time series analysis","type":"article-journal","volume":"346"},"uris":["http://www.mendeley.com/documents/?uuid=dbab3721-8a47-49e3-aa1e-1b35c59e4497"]},{"id":"ITEM-2","itemData":{"DOI":"10.3111/13696998.2013.811080","abstract":"Objective: To evaluate the cost-effectiveness of distributing naloxone to illicit opioid users for lay overdose reversal in Russian cities. Method: This study adapted an integrated Markov and decision analytic model to Russian cities. The model took a lifetime, societal perspective, relied on published literature, and was calibrated to epidemiologic findings. Results: For each 20% of heroin users reached with naloxone distribution, the model predicted a 13.4% reduction in overdose deaths in the first 5 years and 7.6% over a lifetime; on probabilistic analysis, one death would be prevented for every 89 naloxone kits distributed (95% CI=32-260). Naloxone distribution was cost-effective in all deterministic and probabilistic sensitivity analyses and cost-saving if resulting in a reduction in overdose events. Naloxone distribution increased costs by US$13 (95% CI=US$3-US$32) and QALYs by 0.137 (95% CI=0.022-0.389) for an incremental cost of US$94 per QALY gained (95% CI=US$40-US$325). In a worst-case scenario where overdose was rarely witnessed and naloxone was rarely used, minimally effective, and expensive, the incremental cost was US$1987 per QALY gained. If national expenditures on drug-related HIV, tuberculosis, and criminal justice were applied to heroin users, the incremental cost was US$928 per QALY gained. Conclusions: Naloxone distribution to heroin users for lay overdose reversal is highly likely to reduce overdose deaths in target communities and is robustly cost-effective, even within the constraints of this conservative model. © 2013 All rights reserved: reproduction in whole or part not permitted.","author":[{"dropping-particle":"","family":"Coffin","given":"Phillip O","non-dropping-particle":"","parse-names":false,"suffix":""},{"dropping-particle":"","family":"Sullivan","given":"Sean D","non-dropping-particle":"","parse-names":false,"suffix":""}],"container-title":"Annals of Internal Medicine","id":"ITEM-2","issue":"1","issued":{"date-parts":[["2013"]]},"page":"1-9","title":"Cost-Effectiveness of Distributing Naloxone to Heroin Users for Lay Overdose Reversal","type":"article-journal","volume":"158"},"uris":["http://www.mendeley.com/documents/?uuid=51cacf04-e9e6-4466-ba40-dbe89466c878"]},{"id":"ITEM-3","itemData":{"DOI":"10.1097/ADM.0000000000000034","ISBN":"0000000000000","ISSN":"19353227","abstract":"Community-based opioid overdose prevention programs (OOPPs) that include the distribution of naloxone have increased in response to alarmingly high overdose rates in recent years. This systematic review describes the current state of the literature on OOPPs, with particular focus on the effectiveness of these programs.We used systematic search criteria to identify relevant articles, which we abstracted and assigned a quality assessment score. Nineteen articles evaluating OOPPs met the search criteria for this systematic review. Principal findings included participant demographics, the number of naloxone administrations, percentage of survival in overdose victims receiving naloxone, post-naloxone administration outcome measures, OOPP characteristics, changes in knowledge pertaining to overdose responses, and barriers to naloxone administration during overdose responses. The current evidence from nonrandomized studies suggests that bystanders (mostly opioid users) can and will use naloxone to reverse opioid overdoses when properly trained, and that this training can be done successfully through OOPPs. Copyright © 2014 American Society of Addiction Medicine.","author":[{"dropping-particle":"","family":"Clark","given":"Angela K.","non-dropping-particle":"","parse-names":false,"suffix":""},{"dropping-particle":"","family":"Wilder","given":"Christine M.","non-dropping-particle":"","parse-names":false,"suffix":""},{"dropping-particle":"","family":"Winstanley","given":"Erin L.","non-dropping-particle":"","parse-names":false,"suffix":""}],"container-title":"Journal of Addiction Medicine","id":"ITEM-3","issue":"3","issued":{"date-parts":[["2014"]]},"page":"153-163","title":"A Systematic Review of Community Opioid Overdose Prevention and Naloxone Distribution Programs","type":"article-journal","volume":"8"},"uris":["http://www.mendeley.com/documents/?uuid=529b4efb-b1a4-4ebc-9ab7-1621483ae683"]}],"mendeley":{"formattedCitation":"&lt;sup&gt;10–12&lt;/sup&gt;","plainTextFormattedCitation":"10–12","previouslyFormattedCitation":"&lt;sup&gt;10–12&lt;/sup&gt;"},"properties":{"noteIndex":0},"schema":"https://github.com/citation-style-language/schema/raw/master/csl-citation.json"}</w:instrText>
      </w:r>
      <w:r w:rsidR="00B71835" w:rsidRPr="00F315D4">
        <w:rPr>
          <w:color w:val="231F20"/>
          <w:sz w:val="22"/>
          <w:szCs w:val="22"/>
        </w:rPr>
        <w:fldChar w:fldCharType="separate"/>
      </w:r>
      <w:r w:rsidR="00067E47" w:rsidRPr="00F315D4">
        <w:rPr>
          <w:noProof/>
          <w:color w:val="231F20"/>
          <w:sz w:val="22"/>
          <w:szCs w:val="22"/>
          <w:vertAlign w:val="superscript"/>
        </w:rPr>
        <w:t>10–12</w:t>
      </w:r>
      <w:r w:rsidR="00B71835" w:rsidRPr="00F315D4">
        <w:rPr>
          <w:color w:val="231F20"/>
          <w:sz w:val="22"/>
          <w:szCs w:val="22"/>
        </w:rPr>
        <w:fldChar w:fldCharType="end"/>
      </w:r>
      <w:r w:rsidR="0096658D" w:rsidRPr="00F315D4">
        <w:rPr>
          <w:color w:val="231F20"/>
          <w:sz w:val="22"/>
          <w:szCs w:val="22"/>
        </w:rPr>
        <w:t xml:space="preserve"> The World Health Organization </w:t>
      </w:r>
      <w:r w:rsidR="000B5756" w:rsidRPr="00F315D4">
        <w:rPr>
          <w:color w:val="231F20"/>
          <w:sz w:val="22"/>
          <w:szCs w:val="22"/>
        </w:rPr>
        <w:t>and other medical groups recommend expans</w:t>
      </w:r>
      <w:r w:rsidR="0096658D" w:rsidRPr="00F315D4">
        <w:rPr>
          <w:sz w:val="22"/>
          <w:szCs w:val="22"/>
          <w:shd w:val="clear" w:color="auto" w:fill="FFFFFF"/>
        </w:rPr>
        <w:t xml:space="preserve">ion of </w:t>
      </w:r>
      <w:r w:rsidR="004F072E" w:rsidRPr="00F315D4">
        <w:rPr>
          <w:sz w:val="22"/>
          <w:szCs w:val="22"/>
          <w:shd w:val="clear" w:color="auto" w:fill="FFFFFF"/>
        </w:rPr>
        <w:t>naloxone</w:t>
      </w:r>
      <w:r w:rsidR="0096658D" w:rsidRPr="00F315D4">
        <w:rPr>
          <w:sz w:val="22"/>
          <w:szCs w:val="22"/>
          <w:shd w:val="clear" w:color="auto" w:fill="FFFFFF"/>
        </w:rPr>
        <w:t xml:space="preserve"> to lay</w:t>
      </w:r>
      <w:r w:rsidR="005318A2" w:rsidRPr="00F315D4">
        <w:rPr>
          <w:sz w:val="22"/>
          <w:szCs w:val="22"/>
          <w:shd w:val="clear" w:color="auto" w:fill="FFFFFF"/>
        </w:rPr>
        <w:t xml:space="preserve"> </w:t>
      </w:r>
      <w:r w:rsidR="0096658D" w:rsidRPr="00F315D4">
        <w:rPr>
          <w:sz w:val="22"/>
          <w:szCs w:val="22"/>
          <w:shd w:val="clear" w:color="auto" w:fill="FFFFFF"/>
        </w:rPr>
        <w:t>persons</w:t>
      </w:r>
      <w:r w:rsidR="005318A2" w:rsidRPr="00F315D4">
        <w:rPr>
          <w:sz w:val="22"/>
          <w:szCs w:val="22"/>
          <w:shd w:val="clear" w:color="auto" w:fill="FFFFFF"/>
        </w:rPr>
        <w:t xml:space="preserve"> in contact with opioid users</w:t>
      </w:r>
      <w:r w:rsidR="00433988" w:rsidRPr="00F315D4">
        <w:rPr>
          <w:sz w:val="22"/>
          <w:szCs w:val="22"/>
          <w:shd w:val="clear" w:color="auto" w:fill="FFFFFF"/>
        </w:rPr>
        <w:t xml:space="preserve"> and thus in a position</w:t>
      </w:r>
      <w:r w:rsidR="00660057" w:rsidRPr="00F315D4">
        <w:rPr>
          <w:sz w:val="22"/>
          <w:szCs w:val="22"/>
          <w:shd w:val="clear" w:color="auto" w:fill="FFFFFF"/>
        </w:rPr>
        <w:t xml:space="preserve"> to administer during opioid overdoses</w:t>
      </w:r>
      <w:r w:rsidR="0096658D" w:rsidRPr="00F315D4">
        <w:rPr>
          <w:color w:val="231F20"/>
          <w:sz w:val="22"/>
          <w:szCs w:val="22"/>
        </w:rPr>
        <w:t>.</w:t>
      </w:r>
      <w:r w:rsidR="0096658D" w:rsidRPr="00F315D4">
        <w:rPr>
          <w:color w:val="231F20"/>
          <w:sz w:val="22"/>
          <w:szCs w:val="22"/>
        </w:rPr>
        <w:fldChar w:fldCharType="begin" w:fldLock="1"/>
      </w:r>
      <w:r w:rsidR="004D5A03" w:rsidRPr="00F315D4">
        <w:rPr>
          <w:color w:val="231F20"/>
          <w:sz w:val="22"/>
          <w:szCs w:val="22"/>
        </w:rPr>
        <w:instrText>ADDIN CSL_CITATION {"citationItems":[{"id":"ITEM-1","itemData":{"DOI":"10.3109/15563650.2014.968657","ISSN":"15569519","abstract":"noabstact Extract: Drug overdose deaths have increased steadily in the United States (U.S.) since 1979. During the past three decades, drug overdose deaths have tripled. In 2008, the number of unintentional poisoning deaths exceeded the number of motor vehicle deaths for the first time. Of the 38,329 drug overdose deaths in the United States in 2010, 22,134 (60%) were related to pharmaceuticals, with 75% of those deaths involving prescription opioid analgesics. Concomitantly, heroin deaths have risen by 55% between 2000 and 2010. Deaths from use of fentanyl-laced or acetyl fentanyl-laced heroin were reported in multiple states in 2013. In 2012, the Centers for Disease Control characterized opioid overdose deaths as an epidemic. Most of these deaths are preventable. Overdose of opioids, including morphine, oxycodone, hydrocodone, methadone, and fentanyl, cause respiratory depression that can lead to hypoxia and, if untreated, death. The exact neuronal mechanisms by which opioids depress respiration in humans are complex. Opioids reduce the sensitivity of the medullary chemoreceptors to hypercapnia. In addition, opioids depress the ventilatory response to hypoxia. The combined losses of hypercarbic and hypoxic drives deprive the victim of the stimulus to breathe. This results in a disruption of the respiratory pattern with prolongation of inspiration and, at higher doses, reduction of chest wall compliance, decrease in tidal volume, and slowing of respiratory rate and apnea. Naloxone is a medication that displaces the opioid agonist from the mu receptor. Timely administration of naloxone reverses opioid-induced respiratory depression-that is, its primary clinical indication. Naloxone is very effective, inexpensive, and has been used since 1970 in hospitals and by emergency medical systems (EMS) for this purpose. The Food and Drug Administration (FDA) has approved the intravenous, intramuscular, and subcutaneous routes of administration of naloxone for opioid reversal; onset of action is rapid via any of these routes. While not specifically approved by FDA for intranasal administration, multiple scientific studies support this route of administration. Intranasal administration has been routinely used in many pediatric emergency departments for years. Currently in the U.S., naloxone is principally administered in the health care setting, but use by laypersons is becoming more common.","author":[{"dropping-particle":"","family":"Doyon","given":"Suzanne","non-dropping-particle":"","parse-names":false,"suffix":""},{"dropping-particle":"","family":"Aks","given":"Steven E","non-dropping-particle":"","parse-names":false,"suffix":""},{"dropping-particle":"","family":"Schaeffer","given":"Scott","non-dropping-particle":"","parse-names":false,"suffix":""}],"container-title":"Journal of Medical Toxicology","id":"ITEM-1","issue":"4","issued":{"date-parts":[["2014"]]},"page":"431-434","title":"Expanding Access to Naloxone in the United States","type":"article-journal","volume":"10"},"uris":["http://www.mendeley.com/documents/?uuid=b199cec0-7b3d-4764-95f8-ad4d00b0b3dc"]},{"id":"ITEM-2","itemData":{"DOI":"10.4324/9781315775425","ISBN":"9781317687399","abstract":"This section of the survey explored a number of areas relating to substance use and abuse including consumption, influencing factors, access to substances and the social context of drug use. Young people were also asked about the substance use of their family members.","author":[{"dropping-particle":"","family":"World Health Organization","given":"","non-dropping-particle":"","parse-names":false,"suffix":""}],"id":"ITEM-2","issued":{"date-parts":[["2014"]]},"number-of-pages":"1-74","publisher-place":"Geneva, Switzerland","title":"Community management of opioid overdose","type":"report"},"uris":["http://www.mendeley.com/documents/?uuid=81890bfd-af7b-4d01-8adf-ca8c9f48e2b8"]}],"mendeley":{"formattedCitation":"&lt;sup&gt;13,14&lt;/sup&gt;","plainTextFormattedCitation":"13,14","previouslyFormattedCitation":"&lt;sup&gt;13,14&lt;/sup&gt;"},"properties":{"noteIndex":0},"schema":"https://github.com/citation-style-language/schema/raw/master/csl-citation.json"}</w:instrText>
      </w:r>
      <w:r w:rsidR="0096658D" w:rsidRPr="00F315D4">
        <w:rPr>
          <w:color w:val="231F20"/>
          <w:sz w:val="22"/>
          <w:szCs w:val="22"/>
        </w:rPr>
        <w:fldChar w:fldCharType="separate"/>
      </w:r>
      <w:r w:rsidR="00067E47" w:rsidRPr="00F315D4">
        <w:rPr>
          <w:noProof/>
          <w:color w:val="231F20"/>
          <w:sz w:val="22"/>
          <w:szCs w:val="22"/>
          <w:vertAlign w:val="superscript"/>
        </w:rPr>
        <w:t>13,14</w:t>
      </w:r>
      <w:r w:rsidR="0096658D" w:rsidRPr="00F315D4">
        <w:rPr>
          <w:color w:val="231F20"/>
          <w:sz w:val="22"/>
          <w:szCs w:val="22"/>
        </w:rPr>
        <w:fldChar w:fldCharType="end"/>
      </w:r>
      <w:r w:rsidR="00953602" w:rsidRPr="00F315D4">
        <w:rPr>
          <w:color w:val="231F20"/>
          <w:sz w:val="22"/>
          <w:szCs w:val="22"/>
        </w:rPr>
        <w:t xml:space="preserve"> </w:t>
      </w:r>
      <w:r w:rsidR="003648E6" w:rsidRPr="00F315D4">
        <w:rPr>
          <w:color w:val="231F20"/>
          <w:sz w:val="22"/>
          <w:szCs w:val="22"/>
        </w:rPr>
        <w:t>Drug users are</w:t>
      </w:r>
      <w:r w:rsidR="007138F3" w:rsidRPr="00F315D4">
        <w:rPr>
          <w:color w:val="231F20"/>
          <w:sz w:val="22"/>
          <w:szCs w:val="22"/>
        </w:rPr>
        <w:t xml:space="preserve"> the laypeople</w:t>
      </w:r>
      <w:r w:rsidR="003648E6" w:rsidRPr="00F315D4">
        <w:rPr>
          <w:color w:val="231F20"/>
          <w:sz w:val="22"/>
          <w:szCs w:val="22"/>
        </w:rPr>
        <w:t xml:space="preserve"> most often given </w:t>
      </w:r>
      <w:r w:rsidR="004F072E" w:rsidRPr="00F315D4">
        <w:rPr>
          <w:color w:val="231F20"/>
          <w:sz w:val="22"/>
          <w:szCs w:val="22"/>
        </w:rPr>
        <w:t>naloxone</w:t>
      </w:r>
      <w:r w:rsidR="003648E6" w:rsidRPr="00F315D4">
        <w:rPr>
          <w:color w:val="231F20"/>
          <w:sz w:val="22"/>
          <w:szCs w:val="22"/>
        </w:rPr>
        <w:t xml:space="preserve"> and</w:t>
      </w:r>
      <w:r w:rsidR="007138F3" w:rsidRPr="00F315D4">
        <w:rPr>
          <w:color w:val="231F20"/>
          <w:sz w:val="22"/>
          <w:szCs w:val="22"/>
        </w:rPr>
        <w:t>, of laypeople,</w:t>
      </w:r>
      <w:r w:rsidR="003648E6" w:rsidRPr="00F315D4">
        <w:rPr>
          <w:color w:val="231F20"/>
          <w:sz w:val="22"/>
          <w:szCs w:val="22"/>
        </w:rPr>
        <w:t xml:space="preserve"> </w:t>
      </w:r>
      <w:r w:rsidR="007138F3" w:rsidRPr="00F315D4">
        <w:rPr>
          <w:color w:val="231F20"/>
          <w:sz w:val="22"/>
          <w:szCs w:val="22"/>
        </w:rPr>
        <w:t xml:space="preserve">have </w:t>
      </w:r>
      <w:r w:rsidR="000C1B75" w:rsidRPr="00F315D4">
        <w:rPr>
          <w:color w:val="231F20"/>
          <w:sz w:val="22"/>
          <w:szCs w:val="22"/>
        </w:rPr>
        <w:t>reversed the most opioid overdoses.</w:t>
      </w:r>
      <w:r w:rsidR="000C1B75" w:rsidRPr="00F315D4">
        <w:rPr>
          <w:color w:val="231F20"/>
          <w:sz w:val="22"/>
          <w:szCs w:val="22"/>
        </w:rPr>
        <w:fldChar w:fldCharType="begin" w:fldLock="1"/>
      </w:r>
      <w:r w:rsidR="004D5A03" w:rsidRPr="00F315D4">
        <w:rPr>
          <w:color w:val="231F20"/>
          <w:sz w:val="22"/>
          <w:szCs w:val="22"/>
        </w:rPr>
        <w:instrText>ADDIN CSL_CITATION {"citationItems":[{"id":"ITEM-1","itemData":{"ISSN":"1545-861X","PMID":"26086633","abstract":"Drug overdose deaths in the United States have more than doubled since 1999. During 2013, 43,982 drug overdose deaths (unintentional, intentional [suicide or homicide], or undetermined intent) were reported. Among these, 16,235 (37%) were associated with prescription opioid analgesics (e.g., oxycodone and hydrocodone) and 8,257 (19%) with heroin. For many years, community-based programs have offered opioid overdose prevention services to laypersons who might witness an overdose, including persons who use drugs, their families and friends, and service providers. Since 1996, an increasing number of programs provide laypersons with training and kits containing the opioid antagonist naloxone hydrochloride (naloxone) to reverse the potentially fatal respiratory depression caused by heroin and other opioids. In July 2014, the Harm Reduction Coalition (HRC), a national advocacy and capacity-building organization, surveyed 140 managers of organizations in the United States known to provide naloxone kits to laypersons. Managers at 136 organizations completed the survey, reporting on the amount of naloxone distributed, overdose reversals by bystanders, and other program data for 644 sites that were providing naloxone kits to laypersons as of June 2014. From 1996 through June 2014, surveyed organizations provided naloxone kits to 152,283 laypersons and received reports of 26,463 overdose reversals. Providing opioid overdose training and naloxone kits to laypersons who might witness an opioid overdose can help reduce opioid overdose mortality.","author":[{"dropping-particle":"","family":"Wheeler","given":"Eliza","non-dropping-particle":"","parse-names":false,"suffix":""},{"dropping-particle":"","family":"Jones","given":"T Stephen","non-dropping-particle":"","parse-names":false,"suffix":""},{"dropping-particle":"","family":"Gilbert","given":"Michael K","non-dropping-particle":"","parse-names":false,"suffix":""},{"dropping-particle":"","family":"Davidson","given":"Peter J","non-dropping-particle":"","parse-names":false,"suffix":""}],"container-title":"Morbidity and Mortality Weekly Report (MMWR)","id":"ITEM-1","issue":"23","issued":{"date-parts":[["2015"]]},"page":"631-635","title":"Opioid Overdose Prevention Programs Providing Naloxone to Laypersons — United States, 2014","type":"article-journal","volume":"64"},"uris":["http://www.mendeley.com/documents/?uuid=71c13995-dad5-4f5c-9556-af3c3a7ff781"]}],"mendeley":{"formattedCitation":"&lt;sup&gt;15&lt;/sup&gt;","plainTextFormattedCitation":"15","previouslyFormattedCitation":"&lt;sup&gt;15&lt;/sup&gt;"},"properties":{"noteIndex":0},"schema":"https://github.com/citation-style-language/schema/raw/master/csl-citation.json"}</w:instrText>
      </w:r>
      <w:r w:rsidR="000C1B75" w:rsidRPr="00F315D4">
        <w:rPr>
          <w:color w:val="231F20"/>
          <w:sz w:val="22"/>
          <w:szCs w:val="22"/>
        </w:rPr>
        <w:fldChar w:fldCharType="separate"/>
      </w:r>
      <w:r w:rsidR="00067E47" w:rsidRPr="00F315D4">
        <w:rPr>
          <w:noProof/>
          <w:color w:val="231F20"/>
          <w:sz w:val="22"/>
          <w:szCs w:val="22"/>
          <w:vertAlign w:val="superscript"/>
        </w:rPr>
        <w:t>15</w:t>
      </w:r>
      <w:r w:rsidR="000C1B75" w:rsidRPr="00F315D4">
        <w:rPr>
          <w:color w:val="231F20"/>
          <w:sz w:val="22"/>
          <w:szCs w:val="22"/>
        </w:rPr>
        <w:fldChar w:fldCharType="end"/>
      </w:r>
      <w:r w:rsidR="00577CE6" w:rsidRPr="00F315D4">
        <w:rPr>
          <w:color w:val="231F20"/>
          <w:sz w:val="22"/>
          <w:szCs w:val="22"/>
        </w:rPr>
        <w:t xml:space="preserve"> </w:t>
      </w:r>
      <w:r w:rsidR="00BC487D" w:rsidRPr="00F315D4">
        <w:rPr>
          <w:color w:val="231F20"/>
          <w:sz w:val="22"/>
          <w:szCs w:val="22"/>
        </w:rPr>
        <w:t>Increasing</w:t>
      </w:r>
      <w:r w:rsidR="00577CE6" w:rsidRPr="00F315D4">
        <w:rPr>
          <w:color w:val="231F20"/>
          <w:sz w:val="22"/>
          <w:szCs w:val="22"/>
        </w:rPr>
        <w:t xml:space="preserve"> distribution of </w:t>
      </w:r>
      <w:r w:rsidR="004F072E" w:rsidRPr="00F315D4">
        <w:rPr>
          <w:color w:val="231F20"/>
          <w:sz w:val="22"/>
          <w:szCs w:val="22"/>
        </w:rPr>
        <w:t>naloxone</w:t>
      </w:r>
      <w:r w:rsidR="00577CE6" w:rsidRPr="00F315D4">
        <w:rPr>
          <w:color w:val="231F20"/>
          <w:sz w:val="22"/>
          <w:szCs w:val="22"/>
        </w:rPr>
        <w:t xml:space="preserve"> </w:t>
      </w:r>
      <w:r w:rsidR="00BC487D" w:rsidRPr="00F315D4">
        <w:rPr>
          <w:color w:val="231F20"/>
          <w:sz w:val="22"/>
          <w:szCs w:val="22"/>
        </w:rPr>
        <w:t>in</w:t>
      </w:r>
      <w:r w:rsidR="00577CE6" w:rsidRPr="00F315D4">
        <w:rPr>
          <w:color w:val="231F20"/>
          <w:sz w:val="22"/>
          <w:szCs w:val="22"/>
        </w:rPr>
        <w:t xml:space="preserve"> Florida </w:t>
      </w:r>
      <w:r w:rsidR="00BC487D" w:rsidRPr="00F315D4">
        <w:rPr>
          <w:color w:val="231F20"/>
          <w:sz w:val="22"/>
          <w:szCs w:val="22"/>
        </w:rPr>
        <w:t>would help reduce the number of fatal opioid overdoses in the state.</w:t>
      </w:r>
      <w:r w:rsidR="00FF4615" w:rsidRPr="00F315D4">
        <w:rPr>
          <w:color w:val="231F20"/>
          <w:sz w:val="22"/>
          <w:szCs w:val="22"/>
        </w:rPr>
        <w:t xml:space="preserve"> </w:t>
      </w:r>
      <w:r w:rsidR="00FF4615" w:rsidRPr="00F315D4">
        <w:rPr>
          <w:sz w:val="22"/>
          <w:szCs w:val="22"/>
        </w:rPr>
        <w:t>The Florida Department of Children and Families and the Florida Department of Health are involved in efforts to distribute naloxone for use by first responders and members of the community.</w:t>
      </w:r>
    </w:p>
    <w:p w14:paraId="7420E0FB" w14:textId="1A820014" w:rsidR="002F070F" w:rsidRPr="002C420E" w:rsidRDefault="002F070F" w:rsidP="001510AE">
      <w:pPr>
        <w:tabs>
          <w:tab w:val="left" w:pos="720"/>
        </w:tabs>
        <w:spacing w:after="220"/>
        <w:rPr>
          <w:rFonts w:ascii="Times New Roman" w:hAnsi="Times New Roman" w:cs="Times New Roman"/>
          <w:color w:val="231F20"/>
        </w:rPr>
      </w:pPr>
      <w:r w:rsidRPr="00F315D4">
        <w:rPr>
          <w:color w:val="231F20"/>
          <w:sz w:val="22"/>
          <w:szCs w:val="22"/>
        </w:rPr>
        <w:t>The purpose of this report is to</w:t>
      </w:r>
      <w:r w:rsidR="003C1396" w:rsidRPr="00F315D4">
        <w:rPr>
          <w:color w:val="231F20"/>
          <w:sz w:val="22"/>
          <w:szCs w:val="22"/>
        </w:rPr>
        <w:t xml:space="preserve"> provide current estimates of the number of fatal opioid overdoses in Florida</w:t>
      </w:r>
      <w:r w:rsidR="008E7AEE" w:rsidRPr="00F315D4">
        <w:rPr>
          <w:color w:val="231F20"/>
          <w:sz w:val="22"/>
          <w:szCs w:val="22"/>
        </w:rPr>
        <w:t xml:space="preserve"> with data from </w:t>
      </w:r>
      <w:r w:rsidR="008E7AEE" w:rsidRPr="00F315D4">
        <w:rPr>
          <w:noProof/>
          <w:sz w:val="22"/>
          <w:szCs w:val="22"/>
        </w:rPr>
        <w:t>the Florida Enhanced State Opioid Overdose Surveillance (FL-ESOOS) project</w:t>
      </w:r>
      <w:r w:rsidR="00CD49C3" w:rsidRPr="00F315D4">
        <w:rPr>
          <w:color w:val="231F20"/>
          <w:sz w:val="22"/>
          <w:szCs w:val="22"/>
        </w:rPr>
        <w:t>. Ra</w:t>
      </w:r>
      <w:r w:rsidR="003C1396" w:rsidRPr="00F315D4">
        <w:rPr>
          <w:color w:val="231F20"/>
          <w:sz w:val="22"/>
          <w:szCs w:val="22"/>
        </w:rPr>
        <w:t xml:space="preserve">tes of fatal overdoses </w:t>
      </w:r>
      <w:r w:rsidR="00CD49C3" w:rsidRPr="00F315D4">
        <w:rPr>
          <w:color w:val="231F20"/>
          <w:sz w:val="22"/>
          <w:szCs w:val="22"/>
        </w:rPr>
        <w:t>across</w:t>
      </w:r>
      <w:r w:rsidR="003C1396" w:rsidRPr="00F315D4">
        <w:rPr>
          <w:color w:val="231F20"/>
          <w:sz w:val="22"/>
          <w:szCs w:val="22"/>
        </w:rPr>
        <w:t xml:space="preserve"> various </w:t>
      </w:r>
      <w:r w:rsidR="00CD49C3" w:rsidRPr="00F315D4">
        <w:rPr>
          <w:color w:val="231F20"/>
          <w:sz w:val="22"/>
          <w:szCs w:val="22"/>
        </w:rPr>
        <w:t>demographic and contextual groups are also presented. Those groups most at risk are identified to characterize the epidemic</w:t>
      </w:r>
      <w:r w:rsidR="00F315D4" w:rsidRPr="00F315D4">
        <w:rPr>
          <w:color w:val="231F20"/>
          <w:sz w:val="22"/>
          <w:szCs w:val="22"/>
        </w:rPr>
        <w:t>,</w:t>
      </w:r>
      <w:r w:rsidR="00CD49C3" w:rsidRPr="00F315D4">
        <w:rPr>
          <w:color w:val="231F20"/>
          <w:sz w:val="22"/>
          <w:szCs w:val="22"/>
        </w:rPr>
        <w:t xml:space="preserve"> as well as </w:t>
      </w:r>
      <w:r w:rsidR="007E4C1E" w:rsidRPr="00F315D4">
        <w:rPr>
          <w:color w:val="231F20"/>
          <w:sz w:val="22"/>
          <w:szCs w:val="22"/>
        </w:rPr>
        <w:t xml:space="preserve">highlight those most at need </w:t>
      </w:r>
      <w:r w:rsidR="00207072" w:rsidRPr="00F315D4">
        <w:rPr>
          <w:color w:val="231F20"/>
          <w:sz w:val="22"/>
          <w:szCs w:val="22"/>
        </w:rPr>
        <w:t>of targeted interventions.</w:t>
      </w:r>
    </w:p>
    <w:p w14:paraId="4AF7C590" w14:textId="77777777" w:rsidR="0097636E" w:rsidRPr="002C420E" w:rsidRDefault="0097636E" w:rsidP="000C1B75">
      <w:pPr>
        <w:rPr>
          <w:rFonts w:ascii="Times New Roman" w:hAnsi="Times New Roman" w:cs="Times New Roman"/>
        </w:rPr>
      </w:pPr>
    </w:p>
    <w:p w14:paraId="3C9548B3" w14:textId="745F05E3" w:rsidR="00375029" w:rsidRPr="002C420E" w:rsidRDefault="00375029" w:rsidP="00A33DD2">
      <w:pPr>
        <w:rPr>
          <w:rFonts w:ascii="Times New Roman" w:hAnsi="Times New Roman" w:cs="Times New Roman"/>
        </w:rPr>
      </w:pPr>
      <w:r w:rsidRPr="002C420E">
        <w:rPr>
          <w:rFonts w:ascii="Times New Roman" w:hAnsi="Times New Roman" w:cs="Times New Roman"/>
        </w:rPr>
        <w:br w:type="page"/>
      </w:r>
    </w:p>
    <w:p w14:paraId="3840B53D" w14:textId="51EFD92A" w:rsidR="00955EC3" w:rsidRDefault="00955EC3" w:rsidP="00CA2628">
      <w:pPr>
        <w:pStyle w:val="Heading1"/>
      </w:pPr>
      <w:bookmarkStart w:id="14" w:name="_Toc17788948"/>
      <w:r w:rsidRPr="00955EC3">
        <w:lastRenderedPageBreak/>
        <w:t>METHODS</w:t>
      </w:r>
      <w:bookmarkEnd w:id="14"/>
    </w:p>
    <w:p w14:paraId="22662C5F" w14:textId="42843034" w:rsidR="006C2404" w:rsidRPr="00F315D4" w:rsidRDefault="00C1242D" w:rsidP="001510AE">
      <w:pPr>
        <w:tabs>
          <w:tab w:val="left" w:pos="720"/>
        </w:tabs>
        <w:spacing w:after="220"/>
        <w:rPr>
          <w:sz w:val="22"/>
          <w:szCs w:val="22"/>
        </w:rPr>
      </w:pPr>
      <w:bookmarkStart w:id="15" w:name="_Hlk14780106"/>
      <w:r w:rsidRPr="00F315D4">
        <w:rPr>
          <w:sz w:val="22"/>
          <w:szCs w:val="22"/>
        </w:rPr>
        <w:t>The methods of this report</w:t>
      </w:r>
      <w:r w:rsidR="006C2404" w:rsidRPr="00F315D4">
        <w:rPr>
          <w:sz w:val="22"/>
          <w:szCs w:val="22"/>
        </w:rPr>
        <w:t xml:space="preserve"> are </w:t>
      </w:r>
      <w:r w:rsidR="00433988" w:rsidRPr="00F315D4">
        <w:rPr>
          <w:sz w:val="22"/>
          <w:szCs w:val="22"/>
        </w:rPr>
        <w:t>outline</w:t>
      </w:r>
      <w:r w:rsidR="009772D8">
        <w:rPr>
          <w:sz w:val="22"/>
          <w:szCs w:val="22"/>
        </w:rPr>
        <w:t>d</w:t>
      </w:r>
      <w:r w:rsidR="006C2404" w:rsidRPr="00F315D4">
        <w:rPr>
          <w:sz w:val="22"/>
          <w:szCs w:val="22"/>
        </w:rPr>
        <w:t xml:space="preserve"> below</w:t>
      </w:r>
      <w:r w:rsidR="006F644C" w:rsidRPr="00F315D4">
        <w:rPr>
          <w:sz w:val="22"/>
          <w:szCs w:val="22"/>
        </w:rPr>
        <w:t xml:space="preserve">, including </w:t>
      </w:r>
      <w:r w:rsidR="0079622C" w:rsidRPr="00F315D4">
        <w:rPr>
          <w:sz w:val="22"/>
          <w:szCs w:val="22"/>
        </w:rPr>
        <w:t>details of the sample, representativeness of data, and measures</w:t>
      </w:r>
      <w:r w:rsidR="006C2404" w:rsidRPr="00F315D4">
        <w:rPr>
          <w:sz w:val="22"/>
          <w:szCs w:val="22"/>
        </w:rPr>
        <w:t>.</w:t>
      </w:r>
      <w:r w:rsidR="008E177D" w:rsidRPr="00F315D4">
        <w:rPr>
          <w:sz w:val="22"/>
          <w:szCs w:val="22"/>
        </w:rPr>
        <w:t xml:space="preserve"> </w:t>
      </w:r>
      <w:r w:rsidR="008E7AEE" w:rsidRPr="00F315D4">
        <w:rPr>
          <w:sz w:val="22"/>
          <w:szCs w:val="22"/>
        </w:rPr>
        <w:t xml:space="preserve">The number of fatal overdoses and related data </w:t>
      </w:r>
      <w:r w:rsidR="008E7AEE" w:rsidRPr="00F315D4">
        <w:rPr>
          <w:noProof/>
          <w:sz w:val="22"/>
          <w:szCs w:val="22"/>
        </w:rPr>
        <w:t>were derived</w:t>
      </w:r>
      <w:r w:rsidR="008E7AEE" w:rsidRPr="00F315D4">
        <w:rPr>
          <w:sz w:val="22"/>
          <w:szCs w:val="22"/>
        </w:rPr>
        <w:t xml:space="preserve"> from Florida’s vital statistics death records and information provided by Florida medical examiners for this surveillance project. </w:t>
      </w:r>
      <w:bookmarkEnd w:id="15"/>
      <w:r w:rsidR="008E7AEE" w:rsidRPr="00F315D4">
        <w:rPr>
          <w:sz w:val="22"/>
          <w:szCs w:val="22"/>
        </w:rPr>
        <w:t>Florida Department of Health d</w:t>
      </w:r>
      <w:r w:rsidR="009A0C46" w:rsidRPr="00F315D4">
        <w:rPr>
          <w:sz w:val="22"/>
          <w:szCs w:val="22"/>
        </w:rPr>
        <w:t xml:space="preserve">ata abstractors </w:t>
      </w:r>
      <w:r w:rsidR="008E7AEE" w:rsidRPr="00F315D4">
        <w:rPr>
          <w:sz w:val="22"/>
          <w:szCs w:val="22"/>
        </w:rPr>
        <w:t>we</w:t>
      </w:r>
      <w:r w:rsidR="009A0C46" w:rsidRPr="00F315D4">
        <w:rPr>
          <w:sz w:val="22"/>
          <w:szCs w:val="22"/>
        </w:rPr>
        <w:t xml:space="preserve">re trained in accurate data abstraction methods and follow specific protocols to </w:t>
      </w:r>
      <w:r w:rsidR="00387BD1" w:rsidRPr="00F315D4">
        <w:rPr>
          <w:sz w:val="22"/>
          <w:szCs w:val="22"/>
        </w:rPr>
        <w:t>promote data accuracy</w:t>
      </w:r>
      <w:r w:rsidR="00CB6DE1" w:rsidRPr="00F315D4">
        <w:rPr>
          <w:sz w:val="22"/>
          <w:szCs w:val="22"/>
        </w:rPr>
        <w:t xml:space="preserve"> and consistent practices</w:t>
      </w:r>
      <w:r w:rsidR="00387BD1" w:rsidRPr="00F315D4">
        <w:rPr>
          <w:sz w:val="22"/>
          <w:szCs w:val="22"/>
        </w:rPr>
        <w:t>.</w:t>
      </w:r>
      <w:r w:rsidR="000A0251" w:rsidRPr="00F315D4">
        <w:rPr>
          <w:sz w:val="22"/>
          <w:szCs w:val="22"/>
        </w:rPr>
        <w:t xml:space="preserve"> </w:t>
      </w:r>
      <w:r w:rsidR="000A0251" w:rsidRPr="00F315D4">
        <w:rPr>
          <w:noProof/>
          <w:sz w:val="22"/>
          <w:szCs w:val="22"/>
        </w:rPr>
        <w:t>All analyses were conducted in SAS Enterprise 9.4</w:t>
      </w:r>
      <w:r w:rsidR="00C449D9" w:rsidRPr="00F315D4">
        <w:rPr>
          <w:noProof/>
          <w:sz w:val="22"/>
          <w:szCs w:val="22"/>
        </w:rPr>
        <w:t xml:space="preserve"> b</w:t>
      </w:r>
      <w:r w:rsidR="00BB4157" w:rsidRPr="00F315D4">
        <w:rPr>
          <w:noProof/>
          <w:sz w:val="22"/>
          <w:szCs w:val="22"/>
        </w:rPr>
        <w:t>y</w:t>
      </w:r>
      <w:r w:rsidR="00C449D9" w:rsidRPr="00F315D4">
        <w:rPr>
          <w:noProof/>
          <w:sz w:val="22"/>
          <w:szCs w:val="22"/>
        </w:rPr>
        <w:t xml:space="preserve"> a Florida Department of Health </w:t>
      </w:r>
      <w:r w:rsidR="008E7AEE" w:rsidRPr="00F315D4">
        <w:rPr>
          <w:noProof/>
          <w:sz w:val="22"/>
          <w:szCs w:val="22"/>
        </w:rPr>
        <w:t>e</w:t>
      </w:r>
      <w:r w:rsidR="00C449D9" w:rsidRPr="00F315D4">
        <w:rPr>
          <w:noProof/>
          <w:sz w:val="22"/>
          <w:szCs w:val="22"/>
        </w:rPr>
        <w:t>pidemiologist.</w:t>
      </w:r>
    </w:p>
    <w:p w14:paraId="588B1646" w14:textId="55F9B7F7" w:rsidR="008F64C9" w:rsidRPr="002C420E" w:rsidRDefault="006C2404" w:rsidP="001510AE">
      <w:pPr>
        <w:tabs>
          <w:tab w:val="left" w:pos="720"/>
        </w:tabs>
        <w:spacing w:after="220"/>
        <w:rPr>
          <w:rFonts w:ascii="Times New Roman" w:hAnsi="Times New Roman" w:cs="Times New Roman"/>
          <w:noProof/>
        </w:rPr>
      </w:pPr>
      <w:r w:rsidRPr="00F315D4">
        <w:rPr>
          <w:noProof/>
          <w:sz w:val="22"/>
          <w:szCs w:val="22"/>
        </w:rPr>
        <w:t xml:space="preserve">Data </w:t>
      </w:r>
      <w:r w:rsidR="00387BD1" w:rsidRPr="00F315D4">
        <w:rPr>
          <w:noProof/>
          <w:sz w:val="22"/>
          <w:szCs w:val="22"/>
        </w:rPr>
        <w:t xml:space="preserve">abstracted for </w:t>
      </w:r>
      <w:r w:rsidR="008E7AEE" w:rsidRPr="00F315D4">
        <w:rPr>
          <w:noProof/>
          <w:sz w:val="22"/>
          <w:szCs w:val="22"/>
        </w:rPr>
        <w:t>FL-ESOOS project</w:t>
      </w:r>
      <w:r w:rsidR="00387BD1" w:rsidRPr="00F315D4">
        <w:rPr>
          <w:noProof/>
          <w:sz w:val="22"/>
          <w:szCs w:val="22"/>
        </w:rPr>
        <w:t xml:space="preserve"> must meet </w:t>
      </w:r>
      <w:r w:rsidR="003D5FAB" w:rsidRPr="00F315D4">
        <w:rPr>
          <w:noProof/>
          <w:sz w:val="22"/>
          <w:szCs w:val="22"/>
        </w:rPr>
        <w:t xml:space="preserve">the case definition presented in Table 1. </w:t>
      </w:r>
      <w:r w:rsidR="00616C67" w:rsidRPr="00F315D4">
        <w:rPr>
          <w:noProof/>
          <w:sz w:val="22"/>
          <w:szCs w:val="22"/>
        </w:rPr>
        <w:t>Decedents must meet the three criteria to be considered a fatal opioid overdose case</w:t>
      </w:r>
      <w:r w:rsidR="003854C2" w:rsidRPr="00F315D4">
        <w:rPr>
          <w:noProof/>
          <w:sz w:val="22"/>
          <w:szCs w:val="22"/>
        </w:rPr>
        <w:t xml:space="preserve">: </w:t>
      </w:r>
      <w:r w:rsidR="009863A5" w:rsidRPr="00F315D4">
        <w:rPr>
          <w:noProof/>
          <w:sz w:val="22"/>
          <w:szCs w:val="22"/>
        </w:rPr>
        <w:t>be labeled a drug poisoning death, have an opioid</w:t>
      </w:r>
      <w:r w:rsidR="0039319B" w:rsidRPr="00F315D4">
        <w:rPr>
          <w:noProof/>
          <w:sz w:val="22"/>
          <w:szCs w:val="22"/>
        </w:rPr>
        <w:t xml:space="preserve"> or opiate</w:t>
      </w:r>
      <w:r w:rsidR="009863A5" w:rsidRPr="00F315D4">
        <w:rPr>
          <w:noProof/>
          <w:sz w:val="22"/>
          <w:szCs w:val="22"/>
        </w:rPr>
        <w:t xml:space="preserve"> as a contributing cause of death on the death certificate, and</w:t>
      </w:r>
      <w:r w:rsidR="0039319B" w:rsidRPr="00F315D4">
        <w:rPr>
          <w:noProof/>
          <w:sz w:val="22"/>
          <w:szCs w:val="22"/>
        </w:rPr>
        <w:t xml:space="preserve"> have an opioid or opiate listed as a contributing cause of death on </w:t>
      </w:r>
      <w:r w:rsidR="00C37F66" w:rsidRPr="00F315D4">
        <w:rPr>
          <w:noProof/>
          <w:sz w:val="22"/>
          <w:szCs w:val="22"/>
        </w:rPr>
        <w:t>the toxicology report.</w:t>
      </w:r>
      <w:r w:rsidR="009863A5" w:rsidRPr="002C420E">
        <w:rPr>
          <w:rFonts w:ascii="Times New Roman" w:hAnsi="Times New Roman" w:cs="Times New Roman"/>
          <w:noProof/>
        </w:rPr>
        <w:t xml:space="preserve"> </w:t>
      </w:r>
    </w:p>
    <w:tbl>
      <w:tblPr>
        <w:tblStyle w:val="TableGrid"/>
        <w:tblpPr w:leftFromText="180" w:rightFromText="180" w:vertAnchor="text" w:horzAnchor="margin" w:tblpY="5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82"/>
        <w:gridCol w:w="1378"/>
      </w:tblGrid>
      <w:tr w:rsidR="00A31003" w:rsidRPr="00080B4F" w14:paraId="5FCDF689" w14:textId="1B560329" w:rsidTr="00A424E5">
        <w:trPr>
          <w:trHeight w:val="295"/>
        </w:trPr>
        <w:tc>
          <w:tcPr>
            <w:tcW w:w="10080" w:type="dxa"/>
            <w:gridSpan w:val="3"/>
            <w:tcBorders>
              <w:bottom w:val="single" w:sz="36" w:space="0" w:color="auto"/>
            </w:tcBorders>
            <w:shd w:val="clear" w:color="auto" w:fill="auto"/>
            <w:vAlign w:val="center"/>
          </w:tcPr>
          <w:p w14:paraId="4DC3FEF4" w14:textId="1E7DC8BA" w:rsidR="00A31003" w:rsidRPr="00DA6DCB" w:rsidRDefault="00A31003" w:rsidP="00DA6DCB">
            <w:pPr>
              <w:spacing w:after="120"/>
              <w:rPr>
                <w:b/>
              </w:rPr>
            </w:pPr>
            <w:r w:rsidRPr="00DA6DCB">
              <w:rPr>
                <w:b/>
              </w:rPr>
              <w:t xml:space="preserve">Table 1: Case Definition </w:t>
            </w:r>
            <w:r w:rsidR="00A0698F">
              <w:rPr>
                <w:b/>
              </w:rPr>
              <w:t>for Fatal Opioid Overdose Meets Three Criteria</w:t>
            </w:r>
          </w:p>
        </w:tc>
      </w:tr>
      <w:tr w:rsidR="0086237D" w:rsidRPr="00B55A6F" w14:paraId="1E3D498A" w14:textId="5B514AB4" w:rsidTr="00A424E5">
        <w:trPr>
          <w:trHeight w:val="280"/>
        </w:trPr>
        <w:tc>
          <w:tcPr>
            <w:tcW w:w="4320" w:type="dxa"/>
            <w:tcBorders>
              <w:top w:val="single" w:sz="36" w:space="0" w:color="auto"/>
              <w:bottom w:val="single" w:sz="4" w:space="0" w:color="auto"/>
            </w:tcBorders>
            <w:shd w:val="clear" w:color="auto" w:fill="auto"/>
            <w:vAlign w:val="center"/>
          </w:tcPr>
          <w:p w14:paraId="406B2264" w14:textId="0C9305FF" w:rsidR="0086237D" w:rsidRPr="00C10853" w:rsidRDefault="0086237D" w:rsidP="00ED3089">
            <w:pPr>
              <w:spacing w:after="0"/>
              <w:jc w:val="center"/>
              <w:rPr>
                <w:b/>
                <w:i/>
                <w:sz w:val="22"/>
              </w:rPr>
            </w:pPr>
            <w:r w:rsidRPr="00C10853">
              <w:rPr>
                <w:b/>
                <w:i/>
                <w:sz w:val="22"/>
              </w:rPr>
              <w:t>Death Certificate ICD-10 CM COD</w:t>
            </w:r>
          </w:p>
        </w:tc>
        <w:tc>
          <w:tcPr>
            <w:tcW w:w="4382" w:type="dxa"/>
            <w:tcBorders>
              <w:top w:val="single" w:sz="36" w:space="0" w:color="auto"/>
              <w:bottom w:val="single" w:sz="4" w:space="0" w:color="auto"/>
            </w:tcBorders>
            <w:shd w:val="clear" w:color="auto" w:fill="auto"/>
            <w:vAlign w:val="center"/>
          </w:tcPr>
          <w:p w14:paraId="69132347" w14:textId="19913633" w:rsidR="0086237D" w:rsidRPr="00C10853" w:rsidRDefault="0086237D" w:rsidP="00ED3089">
            <w:pPr>
              <w:spacing w:after="0"/>
              <w:jc w:val="center"/>
              <w:rPr>
                <w:b/>
                <w:i/>
                <w:sz w:val="22"/>
              </w:rPr>
            </w:pPr>
            <w:r w:rsidRPr="00C10853">
              <w:rPr>
                <w:b/>
                <w:i/>
                <w:sz w:val="22"/>
              </w:rPr>
              <w:t>Death Certificate Contributing COD</w:t>
            </w:r>
          </w:p>
        </w:tc>
        <w:tc>
          <w:tcPr>
            <w:tcW w:w="1378" w:type="dxa"/>
            <w:tcBorders>
              <w:top w:val="single" w:sz="36" w:space="0" w:color="auto"/>
              <w:bottom w:val="single" w:sz="4" w:space="0" w:color="auto"/>
            </w:tcBorders>
          </w:tcPr>
          <w:p w14:paraId="58ABD0E1" w14:textId="79B89277" w:rsidR="0086237D" w:rsidRPr="00C10853" w:rsidRDefault="0086237D" w:rsidP="00ED3089">
            <w:pPr>
              <w:spacing w:after="0"/>
              <w:jc w:val="center"/>
              <w:rPr>
                <w:b/>
                <w:i/>
                <w:sz w:val="22"/>
              </w:rPr>
            </w:pPr>
            <w:r w:rsidRPr="00C10853">
              <w:rPr>
                <w:b/>
                <w:i/>
                <w:sz w:val="22"/>
              </w:rPr>
              <w:t>Toxicology</w:t>
            </w:r>
          </w:p>
        </w:tc>
      </w:tr>
      <w:tr w:rsidR="00C10853" w:rsidRPr="00B55A6F" w14:paraId="3F042CE8" w14:textId="1BBE7893" w:rsidTr="0086710A">
        <w:trPr>
          <w:trHeight w:val="2647"/>
        </w:trPr>
        <w:tc>
          <w:tcPr>
            <w:tcW w:w="4320" w:type="dxa"/>
            <w:tcBorders>
              <w:top w:val="single" w:sz="4" w:space="0" w:color="auto"/>
            </w:tcBorders>
            <w:shd w:val="clear" w:color="auto" w:fill="auto"/>
          </w:tcPr>
          <w:p w14:paraId="2425B249"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 xml:space="preserve">X40: </w:t>
            </w:r>
            <w:r w:rsidRPr="00C10853">
              <w:rPr>
                <w:rFonts w:eastAsia="Times New Roman"/>
                <w:color w:val="000000"/>
                <w:sz w:val="22"/>
                <w:szCs w:val="22"/>
              </w:rPr>
              <w:t>Unintentional drug poisoning</w:t>
            </w:r>
          </w:p>
          <w:p w14:paraId="55356BE4"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X41:</w:t>
            </w:r>
            <w:r w:rsidRPr="00C10853">
              <w:rPr>
                <w:rFonts w:eastAsia="Times New Roman"/>
                <w:color w:val="000000"/>
                <w:sz w:val="22"/>
                <w:szCs w:val="22"/>
              </w:rPr>
              <w:t xml:space="preserve"> Unintentional drug poisoning</w:t>
            </w:r>
          </w:p>
          <w:p w14:paraId="7D78EDB4"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X42:</w:t>
            </w:r>
            <w:r w:rsidRPr="00C10853">
              <w:rPr>
                <w:rFonts w:eastAsia="Times New Roman"/>
                <w:color w:val="000000"/>
                <w:sz w:val="22"/>
                <w:szCs w:val="22"/>
              </w:rPr>
              <w:t xml:space="preserve"> Unintentional drug poisoning</w:t>
            </w:r>
          </w:p>
          <w:p w14:paraId="23441777"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X43:</w:t>
            </w:r>
            <w:r w:rsidRPr="00C10853">
              <w:rPr>
                <w:rFonts w:eastAsia="Times New Roman"/>
                <w:color w:val="000000"/>
                <w:sz w:val="22"/>
                <w:szCs w:val="22"/>
              </w:rPr>
              <w:t xml:space="preserve"> Unintentional drug poisoning</w:t>
            </w:r>
          </w:p>
          <w:p w14:paraId="0644FA7D"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X44:</w:t>
            </w:r>
            <w:r w:rsidRPr="00C10853">
              <w:rPr>
                <w:rFonts w:eastAsia="Times New Roman"/>
                <w:color w:val="000000"/>
                <w:sz w:val="22"/>
                <w:szCs w:val="22"/>
              </w:rPr>
              <w:t xml:space="preserve"> Unintentional drug poisoning</w:t>
            </w:r>
          </w:p>
          <w:p w14:paraId="1F4A411D"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 xml:space="preserve">Y10: </w:t>
            </w:r>
            <w:r w:rsidRPr="00C10853">
              <w:rPr>
                <w:rFonts w:eastAsia="Times New Roman"/>
                <w:color w:val="000000"/>
                <w:sz w:val="22"/>
                <w:szCs w:val="22"/>
              </w:rPr>
              <w:t>Undetermined intent drug poisoning</w:t>
            </w:r>
          </w:p>
          <w:p w14:paraId="7EB0B5BF"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Y11:</w:t>
            </w:r>
            <w:r w:rsidRPr="00C10853">
              <w:rPr>
                <w:rFonts w:eastAsia="Times New Roman"/>
                <w:color w:val="000000"/>
                <w:sz w:val="22"/>
                <w:szCs w:val="22"/>
              </w:rPr>
              <w:t xml:space="preserve"> Undetermined intent drug poisoning</w:t>
            </w:r>
          </w:p>
          <w:p w14:paraId="5C3953C6"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Y12:</w:t>
            </w:r>
            <w:r w:rsidRPr="00C10853">
              <w:rPr>
                <w:rFonts w:eastAsia="Times New Roman"/>
                <w:color w:val="000000"/>
                <w:sz w:val="22"/>
                <w:szCs w:val="22"/>
              </w:rPr>
              <w:t xml:space="preserve"> Undetermined intent drug poisoning</w:t>
            </w:r>
          </w:p>
          <w:p w14:paraId="1E4FC8A5"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Y13:</w:t>
            </w:r>
            <w:r w:rsidRPr="00C10853">
              <w:rPr>
                <w:rFonts w:eastAsia="Times New Roman"/>
                <w:color w:val="000000"/>
                <w:sz w:val="22"/>
                <w:szCs w:val="22"/>
              </w:rPr>
              <w:t xml:space="preserve"> Undetermined intent drug poisoning</w:t>
            </w:r>
          </w:p>
          <w:p w14:paraId="6159E190" w14:textId="53E6E3A8" w:rsidR="00C10853" w:rsidRPr="004840AE" w:rsidRDefault="00C10853" w:rsidP="0086710A">
            <w:pPr>
              <w:spacing w:after="0"/>
            </w:pPr>
            <w:r w:rsidRPr="00C10853">
              <w:rPr>
                <w:rFonts w:eastAsia="Times New Roman"/>
                <w:b/>
                <w:color w:val="000000"/>
                <w:sz w:val="22"/>
                <w:szCs w:val="22"/>
              </w:rPr>
              <w:t>Y14:</w:t>
            </w:r>
            <w:r w:rsidRPr="00C10853">
              <w:rPr>
                <w:rFonts w:eastAsia="Times New Roman"/>
                <w:color w:val="000000"/>
                <w:sz w:val="22"/>
                <w:szCs w:val="22"/>
              </w:rPr>
              <w:t xml:space="preserve"> Undetermined intent drug poisoning</w:t>
            </w:r>
          </w:p>
        </w:tc>
        <w:tc>
          <w:tcPr>
            <w:tcW w:w="4382" w:type="dxa"/>
            <w:tcBorders>
              <w:top w:val="single" w:sz="4" w:space="0" w:color="auto"/>
            </w:tcBorders>
            <w:shd w:val="clear" w:color="auto" w:fill="auto"/>
          </w:tcPr>
          <w:p w14:paraId="5987012F"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T40.0:</w:t>
            </w:r>
            <w:r w:rsidRPr="004E1483">
              <w:rPr>
                <w:rFonts w:eastAsia="Times New Roman"/>
                <w:color w:val="000000"/>
                <w:sz w:val="22"/>
                <w:szCs w:val="22"/>
              </w:rPr>
              <w:t xml:space="preserve"> Poisoning by opium</w:t>
            </w:r>
          </w:p>
          <w:p w14:paraId="2B454ECD"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T40.1:</w:t>
            </w:r>
            <w:r w:rsidRPr="004E1483">
              <w:rPr>
                <w:rFonts w:eastAsia="Times New Roman"/>
                <w:color w:val="000000"/>
                <w:sz w:val="22"/>
                <w:szCs w:val="22"/>
              </w:rPr>
              <w:t xml:space="preserve"> Poisoning by heroin</w:t>
            </w:r>
          </w:p>
          <w:p w14:paraId="1CECE970"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T40.2:</w:t>
            </w:r>
            <w:r w:rsidRPr="004E1483">
              <w:rPr>
                <w:rFonts w:eastAsia="Times New Roman"/>
                <w:color w:val="000000"/>
                <w:sz w:val="22"/>
                <w:szCs w:val="22"/>
              </w:rPr>
              <w:t xml:space="preserve"> Poisoning by other opioids</w:t>
            </w:r>
          </w:p>
          <w:p w14:paraId="47C434CB"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T40.3:</w:t>
            </w:r>
            <w:r w:rsidRPr="004E1483">
              <w:rPr>
                <w:rFonts w:eastAsia="Times New Roman"/>
                <w:color w:val="000000"/>
                <w:sz w:val="22"/>
                <w:szCs w:val="22"/>
              </w:rPr>
              <w:t xml:space="preserve"> Poisoning by methadone</w:t>
            </w:r>
          </w:p>
          <w:p w14:paraId="4D2A380C"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T40.4:</w:t>
            </w:r>
            <w:r w:rsidRPr="004E1483">
              <w:rPr>
                <w:rFonts w:eastAsia="Times New Roman"/>
                <w:color w:val="000000"/>
                <w:sz w:val="22"/>
                <w:szCs w:val="22"/>
              </w:rPr>
              <w:t xml:space="preserve"> Poisoning by synthetic narcotics</w:t>
            </w:r>
          </w:p>
          <w:p w14:paraId="502F3B56" w14:textId="67B4F834" w:rsidR="00C10853" w:rsidRPr="004E1483" w:rsidRDefault="00C10853" w:rsidP="00C10853">
            <w:pPr>
              <w:spacing w:after="0"/>
              <w:rPr>
                <w:sz w:val="22"/>
                <w:szCs w:val="22"/>
              </w:rPr>
            </w:pPr>
            <w:r w:rsidRPr="004E1483">
              <w:rPr>
                <w:rFonts w:eastAsia="Times New Roman"/>
                <w:b/>
                <w:color w:val="000000"/>
                <w:sz w:val="22"/>
                <w:szCs w:val="22"/>
              </w:rPr>
              <w:t>T40.6:</w:t>
            </w:r>
            <w:r w:rsidRPr="004E1483">
              <w:rPr>
                <w:rFonts w:eastAsia="Times New Roman"/>
                <w:color w:val="000000"/>
                <w:sz w:val="22"/>
                <w:szCs w:val="22"/>
              </w:rPr>
              <w:t xml:space="preserve"> Poisoning by other unspecified narcotics</w:t>
            </w:r>
          </w:p>
        </w:tc>
        <w:tc>
          <w:tcPr>
            <w:tcW w:w="1378" w:type="dxa"/>
            <w:tcBorders>
              <w:top w:val="single" w:sz="4" w:space="0" w:color="auto"/>
            </w:tcBorders>
          </w:tcPr>
          <w:p w14:paraId="75247006" w14:textId="56E6185D" w:rsidR="004E1483" w:rsidRPr="004E1483" w:rsidRDefault="004E1483" w:rsidP="00C10853">
            <w:pPr>
              <w:spacing w:after="0"/>
              <w:rPr>
                <w:b/>
                <w:sz w:val="22"/>
                <w:szCs w:val="22"/>
              </w:rPr>
            </w:pPr>
            <w:r w:rsidRPr="004E1483">
              <w:rPr>
                <w:b/>
                <w:sz w:val="22"/>
                <w:szCs w:val="22"/>
              </w:rPr>
              <w:t xml:space="preserve">Substance class: </w:t>
            </w:r>
            <w:r w:rsidRPr="004E1483">
              <w:rPr>
                <w:sz w:val="22"/>
                <w:szCs w:val="22"/>
              </w:rPr>
              <w:t>Opioid or opiate</w:t>
            </w:r>
          </w:p>
        </w:tc>
      </w:tr>
    </w:tbl>
    <w:p w14:paraId="0BF31B71" w14:textId="77777777" w:rsidR="008F64C9" w:rsidRDefault="008F64C9" w:rsidP="00B05A69">
      <w:pPr>
        <w:spacing w:after="120"/>
      </w:pPr>
    </w:p>
    <w:p w14:paraId="3091A91E" w14:textId="59BCA869" w:rsidR="006407CA" w:rsidRPr="00F315D4" w:rsidRDefault="00A666D4" w:rsidP="00183A2C">
      <w:pPr>
        <w:pStyle w:val="Heading2"/>
      </w:pPr>
      <w:bookmarkStart w:id="16" w:name="_Toc17788949"/>
      <w:r w:rsidRPr="00F315D4">
        <w:t>S</w:t>
      </w:r>
      <w:r w:rsidR="00183A2C">
        <w:t>AMPLE</w:t>
      </w:r>
      <w:bookmarkEnd w:id="16"/>
    </w:p>
    <w:p w14:paraId="18A6295B" w14:textId="4D82EB75" w:rsidR="00F146D7" w:rsidRPr="00F315D4" w:rsidRDefault="00500772" w:rsidP="001510AE">
      <w:pPr>
        <w:tabs>
          <w:tab w:val="left" w:pos="720"/>
        </w:tabs>
        <w:spacing w:after="220"/>
        <w:rPr>
          <w:noProof/>
          <w:sz w:val="22"/>
          <w:szCs w:val="22"/>
        </w:rPr>
      </w:pPr>
      <w:r w:rsidRPr="00F315D4">
        <w:rPr>
          <w:noProof/>
          <w:sz w:val="22"/>
          <w:szCs w:val="22"/>
        </w:rPr>
        <w:t xml:space="preserve">Data in this report represent </w:t>
      </w:r>
      <w:r w:rsidR="001C6778" w:rsidRPr="00F315D4">
        <w:rPr>
          <w:noProof/>
          <w:sz w:val="22"/>
          <w:szCs w:val="22"/>
        </w:rPr>
        <w:t>2</w:t>
      </w:r>
      <w:r w:rsidR="00100AC0" w:rsidRPr="00F315D4">
        <w:rPr>
          <w:noProof/>
          <w:sz w:val="22"/>
          <w:szCs w:val="22"/>
        </w:rPr>
        <w:t>5</w:t>
      </w:r>
      <w:r w:rsidRPr="00F315D4">
        <w:rPr>
          <w:noProof/>
          <w:sz w:val="22"/>
          <w:szCs w:val="22"/>
        </w:rPr>
        <w:t xml:space="preserve"> </w:t>
      </w:r>
      <w:r w:rsidR="002715D5" w:rsidRPr="00F315D4">
        <w:rPr>
          <w:noProof/>
          <w:sz w:val="22"/>
          <w:szCs w:val="22"/>
        </w:rPr>
        <w:t>Medical Examiner</w:t>
      </w:r>
      <w:r w:rsidR="00F146D7" w:rsidRPr="00F315D4">
        <w:rPr>
          <w:noProof/>
          <w:sz w:val="22"/>
          <w:szCs w:val="22"/>
        </w:rPr>
        <w:t xml:space="preserve"> (ME)</w:t>
      </w:r>
      <w:r w:rsidR="002715D5" w:rsidRPr="00F315D4">
        <w:rPr>
          <w:noProof/>
          <w:sz w:val="22"/>
          <w:szCs w:val="22"/>
        </w:rPr>
        <w:t xml:space="preserve"> Districts</w:t>
      </w:r>
      <w:r w:rsidRPr="00F315D4">
        <w:rPr>
          <w:noProof/>
          <w:sz w:val="22"/>
          <w:szCs w:val="22"/>
        </w:rPr>
        <w:t xml:space="preserve"> covering </w:t>
      </w:r>
      <w:r w:rsidR="00827D82" w:rsidRPr="00F315D4">
        <w:rPr>
          <w:noProof/>
          <w:sz w:val="22"/>
          <w:szCs w:val="22"/>
        </w:rPr>
        <w:t>5</w:t>
      </w:r>
      <w:r w:rsidR="00434756" w:rsidRPr="00F315D4">
        <w:rPr>
          <w:noProof/>
          <w:sz w:val="22"/>
          <w:szCs w:val="22"/>
        </w:rPr>
        <w:t>7</w:t>
      </w:r>
      <w:r w:rsidR="00A666D4" w:rsidRPr="00F315D4">
        <w:rPr>
          <w:noProof/>
          <w:sz w:val="22"/>
          <w:szCs w:val="22"/>
        </w:rPr>
        <w:t xml:space="preserve"> of Florida’s 67 counties, accounting </w:t>
      </w:r>
      <w:r w:rsidRPr="00F315D4">
        <w:rPr>
          <w:noProof/>
          <w:sz w:val="22"/>
          <w:szCs w:val="22"/>
        </w:rPr>
        <w:t xml:space="preserve">for </w:t>
      </w:r>
      <w:r w:rsidR="00100AC0" w:rsidRPr="00F315D4">
        <w:rPr>
          <w:noProof/>
          <w:sz w:val="22"/>
          <w:szCs w:val="22"/>
        </w:rPr>
        <w:t>82.05 of Florida’s population.</w:t>
      </w:r>
      <w:r w:rsidRPr="00F315D4">
        <w:rPr>
          <w:noProof/>
          <w:sz w:val="22"/>
          <w:szCs w:val="22"/>
        </w:rPr>
        <w:t xml:space="preserve"> </w:t>
      </w:r>
      <w:r w:rsidR="002715D5" w:rsidRPr="00F315D4">
        <w:rPr>
          <w:noProof/>
          <w:sz w:val="22"/>
          <w:szCs w:val="22"/>
        </w:rPr>
        <w:t>A list of all participating</w:t>
      </w:r>
      <w:r w:rsidR="00F146D7" w:rsidRPr="00F315D4">
        <w:rPr>
          <w:noProof/>
          <w:sz w:val="22"/>
          <w:szCs w:val="22"/>
        </w:rPr>
        <w:t xml:space="preserve"> ME D</w:t>
      </w:r>
      <w:r w:rsidR="002715D5" w:rsidRPr="00F315D4">
        <w:rPr>
          <w:noProof/>
          <w:sz w:val="22"/>
          <w:szCs w:val="22"/>
        </w:rPr>
        <w:t>istricts and their respective counties</w:t>
      </w:r>
      <w:r w:rsidR="00F146D7" w:rsidRPr="00F315D4">
        <w:rPr>
          <w:noProof/>
          <w:sz w:val="22"/>
          <w:szCs w:val="22"/>
        </w:rPr>
        <w:t xml:space="preserve"> </w:t>
      </w:r>
      <w:r w:rsidR="00A666D4" w:rsidRPr="00F315D4">
        <w:rPr>
          <w:noProof/>
          <w:sz w:val="22"/>
          <w:szCs w:val="22"/>
        </w:rPr>
        <w:t>are in</w:t>
      </w:r>
      <w:r w:rsidR="00F146D7" w:rsidRPr="00F315D4">
        <w:rPr>
          <w:noProof/>
          <w:sz w:val="22"/>
          <w:szCs w:val="22"/>
        </w:rPr>
        <w:t xml:space="preserve"> Table 2, and a geographical presentation </w:t>
      </w:r>
      <w:r w:rsidR="00A666D4" w:rsidRPr="00F315D4">
        <w:rPr>
          <w:noProof/>
          <w:sz w:val="22"/>
          <w:szCs w:val="22"/>
        </w:rPr>
        <w:t>is</w:t>
      </w:r>
      <w:r w:rsidR="00F146D7" w:rsidRPr="00F315D4">
        <w:rPr>
          <w:noProof/>
          <w:sz w:val="22"/>
          <w:szCs w:val="22"/>
        </w:rPr>
        <w:t xml:space="preserve"> in Figure 1.</w:t>
      </w:r>
      <w:r w:rsidR="004F753D" w:rsidRPr="00F315D4">
        <w:rPr>
          <w:noProof/>
          <w:sz w:val="22"/>
          <w:szCs w:val="22"/>
        </w:rPr>
        <w:t xml:space="preserve"> The only counties not to participate were</w:t>
      </w:r>
      <w:r w:rsidR="00D45BB6" w:rsidRPr="00F315D4">
        <w:rPr>
          <w:noProof/>
          <w:sz w:val="22"/>
          <w:szCs w:val="22"/>
        </w:rPr>
        <w:t xml:space="preserve"> Broward, Citrus, Hernando, Indian River, Lake, Marion, Martin, Okeechobee, St. Lucie, and Sumter </w:t>
      </w:r>
      <w:r w:rsidR="00367C20" w:rsidRPr="00F315D4">
        <w:rPr>
          <w:noProof/>
          <w:sz w:val="22"/>
          <w:szCs w:val="22"/>
        </w:rPr>
        <w:t>c</w:t>
      </w:r>
      <w:r w:rsidR="00D45BB6" w:rsidRPr="00F315D4">
        <w:rPr>
          <w:noProof/>
          <w:sz w:val="22"/>
          <w:szCs w:val="22"/>
        </w:rPr>
        <w:t>ounties.</w:t>
      </w:r>
    </w:p>
    <w:p w14:paraId="1B1820D2" w14:textId="5591E352" w:rsidR="00C43DBC" w:rsidRDefault="00367C20" w:rsidP="001510AE">
      <w:pPr>
        <w:tabs>
          <w:tab w:val="left" w:pos="720"/>
        </w:tabs>
        <w:spacing w:after="220"/>
        <w:rPr>
          <w:rStyle w:val="fontstyle01"/>
          <w:rFonts w:ascii="Arial" w:hAnsi="Arial"/>
          <w:sz w:val="22"/>
          <w:szCs w:val="22"/>
        </w:rPr>
      </w:pPr>
      <w:r w:rsidRPr="00F315D4">
        <w:rPr>
          <w:rStyle w:val="fontstyle01"/>
          <w:rFonts w:ascii="Arial" w:hAnsi="Arial"/>
          <w:sz w:val="22"/>
          <w:szCs w:val="22"/>
        </w:rPr>
        <w:t>The total population</w:t>
      </w:r>
      <w:r w:rsidR="002D798D" w:rsidRPr="00F315D4">
        <w:rPr>
          <w:rStyle w:val="fontstyle01"/>
          <w:rFonts w:ascii="Arial" w:hAnsi="Arial"/>
          <w:sz w:val="22"/>
          <w:szCs w:val="22"/>
        </w:rPr>
        <w:t xml:space="preserve"> from the </w:t>
      </w:r>
      <w:r w:rsidR="00884B83" w:rsidRPr="00F315D4">
        <w:rPr>
          <w:rStyle w:val="fontstyle01"/>
          <w:rFonts w:ascii="Arial" w:hAnsi="Arial"/>
          <w:sz w:val="22"/>
          <w:szCs w:val="22"/>
        </w:rPr>
        <w:t xml:space="preserve">included </w:t>
      </w:r>
      <w:r w:rsidR="002D798D" w:rsidRPr="00F315D4">
        <w:rPr>
          <w:rStyle w:val="fontstyle01"/>
          <w:rFonts w:ascii="Arial" w:hAnsi="Arial"/>
          <w:sz w:val="22"/>
          <w:szCs w:val="22"/>
        </w:rPr>
        <w:t>geographic area, used to calculate r</w:t>
      </w:r>
      <w:r w:rsidR="00500772" w:rsidRPr="00F315D4">
        <w:rPr>
          <w:rStyle w:val="fontstyle01"/>
          <w:rFonts w:ascii="Arial" w:hAnsi="Arial"/>
          <w:sz w:val="22"/>
          <w:szCs w:val="22"/>
        </w:rPr>
        <w:t>ates per 100,000 persons</w:t>
      </w:r>
      <w:r w:rsidR="002D798D" w:rsidRPr="00F315D4">
        <w:rPr>
          <w:rStyle w:val="fontstyle01"/>
          <w:rFonts w:ascii="Arial" w:hAnsi="Arial"/>
          <w:sz w:val="22"/>
          <w:szCs w:val="22"/>
        </w:rPr>
        <w:t>,</w:t>
      </w:r>
      <w:r w:rsidR="00500772" w:rsidRPr="00F315D4">
        <w:rPr>
          <w:rStyle w:val="fontstyle01"/>
          <w:rFonts w:ascii="Arial" w:hAnsi="Arial"/>
          <w:sz w:val="22"/>
          <w:szCs w:val="22"/>
        </w:rPr>
        <w:t xml:space="preserve"> were estimated using data from the 201</w:t>
      </w:r>
      <w:r w:rsidR="00630782" w:rsidRPr="00F315D4">
        <w:rPr>
          <w:rStyle w:val="fontstyle01"/>
          <w:rFonts w:ascii="Arial" w:hAnsi="Arial"/>
          <w:sz w:val="22"/>
          <w:szCs w:val="22"/>
        </w:rPr>
        <w:t>3</w:t>
      </w:r>
      <w:r w:rsidR="000A0251" w:rsidRPr="00F315D4">
        <w:rPr>
          <w:rStyle w:val="fontstyle01"/>
          <w:rFonts w:ascii="Arial" w:hAnsi="Arial"/>
          <w:sz w:val="22"/>
          <w:szCs w:val="22"/>
        </w:rPr>
        <w:t>–</w:t>
      </w:r>
      <w:r w:rsidR="00500772" w:rsidRPr="00F315D4">
        <w:rPr>
          <w:rStyle w:val="fontstyle01"/>
          <w:rFonts w:ascii="Arial" w:hAnsi="Arial"/>
          <w:sz w:val="22"/>
          <w:szCs w:val="22"/>
        </w:rPr>
        <w:t>201</w:t>
      </w:r>
      <w:r w:rsidR="00630782" w:rsidRPr="00F315D4">
        <w:rPr>
          <w:rStyle w:val="fontstyle01"/>
          <w:rFonts w:ascii="Arial" w:hAnsi="Arial"/>
          <w:sz w:val="22"/>
          <w:szCs w:val="22"/>
        </w:rPr>
        <w:t>7</w:t>
      </w:r>
      <w:r w:rsidR="00500772" w:rsidRPr="00F315D4">
        <w:rPr>
          <w:rStyle w:val="fontstyle01"/>
          <w:rFonts w:ascii="Arial" w:hAnsi="Arial"/>
          <w:sz w:val="22"/>
          <w:szCs w:val="22"/>
        </w:rPr>
        <w:t xml:space="preserve"> American Community Survey 5-Year Estimates.</w:t>
      </w:r>
      <w:r w:rsidR="008F45CC" w:rsidRPr="00F315D4">
        <w:rPr>
          <w:rStyle w:val="fontstyle01"/>
          <w:rFonts w:ascii="Arial" w:hAnsi="Arial"/>
          <w:sz w:val="22"/>
          <w:szCs w:val="22"/>
        </w:rPr>
        <w:fldChar w:fldCharType="begin" w:fldLock="1"/>
      </w:r>
      <w:r w:rsidR="004D5A03" w:rsidRPr="00F315D4">
        <w:rPr>
          <w:rStyle w:val="fontstyle01"/>
          <w:rFonts w:ascii="Arial" w:hAnsi="Arial"/>
          <w:sz w:val="22"/>
          <w:szCs w:val="22"/>
        </w:rPr>
        <w:instrText>ADDIN CSL_CITATION {"citationItems":[{"id":"ITEM-1","itemData":{"author":[{"dropping-particle":"","family":"U.S. Census Bureau","given":"","non-dropping-particle":"","parse-names":false,"suffix":""}],"id":"ITEM-1","issued":{"date-parts":[["2018"]]},"title":"Understanding and Using ACS Single-Year and Multiyear Estimates","type":"report"},"uris":["http://www.mendeley.com/documents/?uuid=1926b747-b0f7-417f-8e22-2ea38d0571d5"]}],"mendeley":{"formattedCitation":"&lt;sup&gt;16&lt;/sup&gt;","plainTextFormattedCitation":"16","previouslyFormattedCitation":"&lt;sup&gt;16&lt;/sup&gt;"},"properties":{"noteIndex":0},"schema":"https://github.com/citation-style-language/schema/raw/master/csl-citation.json"}</w:instrText>
      </w:r>
      <w:r w:rsidR="008F45CC" w:rsidRPr="00F315D4">
        <w:rPr>
          <w:rStyle w:val="fontstyle01"/>
          <w:rFonts w:ascii="Arial" w:hAnsi="Arial"/>
          <w:sz w:val="22"/>
          <w:szCs w:val="22"/>
        </w:rPr>
        <w:fldChar w:fldCharType="separate"/>
      </w:r>
      <w:r w:rsidR="00067E47" w:rsidRPr="00F315D4">
        <w:rPr>
          <w:rStyle w:val="fontstyle01"/>
          <w:rFonts w:ascii="Arial" w:hAnsi="Arial"/>
          <w:noProof/>
          <w:sz w:val="22"/>
          <w:szCs w:val="22"/>
          <w:vertAlign w:val="superscript"/>
        </w:rPr>
        <w:t>16</w:t>
      </w:r>
      <w:r w:rsidR="008F45CC" w:rsidRPr="00F315D4">
        <w:rPr>
          <w:rStyle w:val="fontstyle01"/>
          <w:rFonts w:ascii="Arial" w:hAnsi="Arial"/>
          <w:sz w:val="22"/>
          <w:szCs w:val="22"/>
        </w:rPr>
        <w:fldChar w:fldCharType="end"/>
      </w:r>
      <w:r w:rsidR="00500772" w:rsidRPr="00F315D4">
        <w:rPr>
          <w:sz w:val="22"/>
          <w:szCs w:val="22"/>
        </w:rPr>
        <w:t xml:space="preserve"> </w:t>
      </w:r>
      <w:r w:rsidR="004B77F9" w:rsidRPr="00F315D4">
        <w:rPr>
          <w:sz w:val="22"/>
          <w:szCs w:val="22"/>
        </w:rPr>
        <w:t xml:space="preserve">The 2013-2017 5-year estimate was the most up-to-date population and demographic estimates of </w:t>
      </w:r>
      <w:r w:rsidR="00BE57D3" w:rsidRPr="00F315D4">
        <w:rPr>
          <w:sz w:val="22"/>
          <w:szCs w:val="22"/>
        </w:rPr>
        <w:t>county level data in Florida. Though 2013</w:t>
      </w:r>
      <w:r w:rsidR="00917DED" w:rsidRPr="00F315D4">
        <w:rPr>
          <w:sz w:val="22"/>
          <w:szCs w:val="22"/>
        </w:rPr>
        <w:t>–</w:t>
      </w:r>
      <w:r w:rsidR="00BE57D3" w:rsidRPr="00F315D4">
        <w:rPr>
          <w:sz w:val="22"/>
          <w:szCs w:val="22"/>
        </w:rPr>
        <w:t xml:space="preserve">2017 is not the same population </w:t>
      </w:r>
      <w:r w:rsidR="003B5868" w:rsidRPr="00F315D4">
        <w:rPr>
          <w:sz w:val="22"/>
          <w:szCs w:val="22"/>
        </w:rPr>
        <w:t xml:space="preserve">from 2018, it </w:t>
      </w:r>
      <w:r w:rsidR="00283A2C" w:rsidRPr="00F315D4">
        <w:rPr>
          <w:sz w:val="22"/>
          <w:szCs w:val="22"/>
        </w:rPr>
        <w:t>was</w:t>
      </w:r>
      <w:r w:rsidR="003B5868" w:rsidRPr="00F315D4">
        <w:rPr>
          <w:sz w:val="22"/>
          <w:szCs w:val="22"/>
        </w:rPr>
        <w:t xml:space="preserve"> expected to be sufficiently </w:t>
      </w:r>
      <w:proofErr w:type="gramStart"/>
      <w:r w:rsidR="003B5868" w:rsidRPr="00F315D4">
        <w:rPr>
          <w:sz w:val="22"/>
          <w:szCs w:val="22"/>
        </w:rPr>
        <w:t>similar to</w:t>
      </w:r>
      <w:proofErr w:type="gramEnd"/>
      <w:r w:rsidR="003B5868" w:rsidRPr="00F315D4">
        <w:rPr>
          <w:sz w:val="22"/>
          <w:szCs w:val="22"/>
        </w:rPr>
        <w:t xml:space="preserve"> facilitate these analyses.</w:t>
      </w:r>
      <w:r w:rsidR="00034757" w:rsidRPr="00F315D4">
        <w:rPr>
          <w:rStyle w:val="fontstyle01"/>
          <w:rFonts w:ascii="Arial" w:hAnsi="Arial"/>
          <w:sz w:val="22"/>
          <w:szCs w:val="22"/>
        </w:rPr>
        <w:t xml:space="preserve"> T</w:t>
      </w:r>
      <w:r w:rsidR="00500772" w:rsidRPr="00F315D4">
        <w:rPr>
          <w:rStyle w:val="fontstyle01"/>
          <w:rFonts w:ascii="Arial" w:hAnsi="Arial"/>
          <w:sz w:val="22"/>
          <w:szCs w:val="22"/>
        </w:rPr>
        <w:t>he estimated population</w:t>
      </w:r>
      <w:r w:rsidR="00500772" w:rsidRPr="00F315D4">
        <w:rPr>
          <w:sz w:val="22"/>
          <w:szCs w:val="22"/>
        </w:rPr>
        <w:t xml:space="preserve"> </w:t>
      </w:r>
      <w:r w:rsidR="00500772" w:rsidRPr="00F315D4">
        <w:rPr>
          <w:rStyle w:val="fontstyle01"/>
          <w:rFonts w:ascii="Arial" w:hAnsi="Arial"/>
          <w:sz w:val="22"/>
          <w:szCs w:val="22"/>
        </w:rPr>
        <w:t>of Florida</w:t>
      </w:r>
      <w:r w:rsidR="00034757" w:rsidRPr="00F315D4">
        <w:rPr>
          <w:rStyle w:val="fontstyle01"/>
          <w:rFonts w:ascii="Arial" w:hAnsi="Arial"/>
          <w:sz w:val="22"/>
          <w:szCs w:val="22"/>
        </w:rPr>
        <w:t xml:space="preserve"> between 2013 and 2017</w:t>
      </w:r>
      <w:r w:rsidR="00500772" w:rsidRPr="00F315D4">
        <w:rPr>
          <w:rStyle w:val="fontstyle01"/>
          <w:rFonts w:ascii="Arial" w:hAnsi="Arial"/>
          <w:sz w:val="22"/>
          <w:szCs w:val="22"/>
        </w:rPr>
        <w:t xml:space="preserve"> was</w:t>
      </w:r>
      <w:r w:rsidR="003D11E5" w:rsidRPr="00F315D4">
        <w:rPr>
          <w:rStyle w:val="fontstyle01"/>
          <w:rFonts w:ascii="Arial" w:hAnsi="Arial"/>
          <w:sz w:val="22"/>
          <w:szCs w:val="22"/>
        </w:rPr>
        <w:t xml:space="preserve"> </w:t>
      </w:r>
      <w:r w:rsidR="00034757" w:rsidRPr="00F315D4">
        <w:rPr>
          <w:rStyle w:val="fontstyle01"/>
          <w:rFonts w:ascii="Arial" w:hAnsi="Arial"/>
          <w:sz w:val="22"/>
          <w:szCs w:val="22"/>
        </w:rPr>
        <w:t xml:space="preserve">20,278,447; however, for the purpose of these analyses the </w:t>
      </w:r>
      <w:r w:rsidR="00954D64" w:rsidRPr="00F315D4">
        <w:rPr>
          <w:rStyle w:val="fontstyle01"/>
          <w:rFonts w:ascii="Arial" w:hAnsi="Arial"/>
          <w:sz w:val="22"/>
          <w:szCs w:val="22"/>
        </w:rPr>
        <w:t xml:space="preserve">population estimates were limited to those counties reporting fatal opioid overdose data to </w:t>
      </w:r>
      <w:r w:rsidR="00884B83" w:rsidRPr="00F315D4">
        <w:rPr>
          <w:rStyle w:val="fontstyle01"/>
          <w:rFonts w:ascii="Arial" w:hAnsi="Arial"/>
          <w:sz w:val="22"/>
          <w:szCs w:val="22"/>
        </w:rPr>
        <w:t>FL-ESOOS</w:t>
      </w:r>
      <w:r w:rsidR="00CD28EE" w:rsidRPr="00F315D4">
        <w:rPr>
          <w:rStyle w:val="fontstyle01"/>
          <w:rFonts w:ascii="Arial" w:hAnsi="Arial"/>
          <w:sz w:val="22"/>
          <w:szCs w:val="22"/>
        </w:rPr>
        <w:t xml:space="preserve">. A total of </w:t>
      </w:r>
      <w:r w:rsidR="00643BB6" w:rsidRPr="00F315D4">
        <w:rPr>
          <w:rStyle w:val="fontstyle01"/>
          <w:rFonts w:ascii="Arial" w:hAnsi="Arial"/>
          <w:sz w:val="22"/>
          <w:szCs w:val="22"/>
        </w:rPr>
        <w:t>16,</w:t>
      </w:r>
      <w:r w:rsidR="00E26344" w:rsidRPr="00F315D4">
        <w:rPr>
          <w:rStyle w:val="fontstyle01"/>
          <w:rFonts w:ascii="Arial" w:hAnsi="Arial"/>
          <w:sz w:val="22"/>
          <w:szCs w:val="22"/>
        </w:rPr>
        <w:t>638,076 individuals were estimated to live in Florida’s reporting counties between 2013 and 2017</w:t>
      </w:r>
      <w:r w:rsidR="00847E68" w:rsidRPr="00F315D4">
        <w:rPr>
          <w:rStyle w:val="fontstyle01"/>
          <w:rFonts w:ascii="Arial" w:hAnsi="Arial"/>
          <w:sz w:val="22"/>
          <w:szCs w:val="22"/>
        </w:rPr>
        <w:t>, and 14,791,030 for those ages 10 years and older</w:t>
      </w:r>
      <w:r w:rsidR="00E26344" w:rsidRPr="00F315D4">
        <w:rPr>
          <w:rStyle w:val="fontstyle01"/>
          <w:rFonts w:ascii="Arial" w:hAnsi="Arial"/>
          <w:sz w:val="22"/>
          <w:szCs w:val="22"/>
        </w:rPr>
        <w:t>.</w:t>
      </w:r>
    </w:p>
    <w:p w14:paraId="58CA94B5" w14:textId="551648E0" w:rsidR="00B05A69" w:rsidRDefault="00B05A69" w:rsidP="001510AE">
      <w:pPr>
        <w:tabs>
          <w:tab w:val="left" w:pos="720"/>
        </w:tabs>
        <w:spacing w:after="220"/>
        <w:rPr>
          <w:rStyle w:val="fontstyle01"/>
          <w:rFonts w:ascii="Arial" w:hAnsi="Arial"/>
        </w:rPr>
      </w:pPr>
    </w:p>
    <w:p w14:paraId="52F69CBB" w14:textId="77777777" w:rsidR="00B05A69" w:rsidRPr="001510AE" w:rsidRDefault="00B05A69" w:rsidP="001510AE">
      <w:pPr>
        <w:tabs>
          <w:tab w:val="left" w:pos="720"/>
        </w:tabs>
        <w:spacing w:after="220"/>
        <w:rPr>
          <w:rStyle w:val="fontstyle01"/>
          <w:rFonts w:ascii="Arial" w:hAnsi="Arial"/>
          <w:sz w:val="22"/>
          <w:szCs w:val="22"/>
        </w:rPr>
      </w:pPr>
    </w:p>
    <w:tbl>
      <w:tblPr>
        <w:tblW w:w="0" w:type="auto"/>
        <w:tblInd w:w="5" w:type="dxa"/>
        <w:tblLook w:val="04A0" w:firstRow="1" w:lastRow="0" w:firstColumn="1" w:lastColumn="0" w:noHBand="0" w:noVBand="1"/>
      </w:tblPr>
      <w:tblGrid>
        <w:gridCol w:w="1033"/>
        <w:gridCol w:w="6522"/>
        <w:gridCol w:w="1710"/>
        <w:gridCol w:w="805"/>
      </w:tblGrid>
      <w:tr w:rsidR="003940FB" w:rsidRPr="00051340" w14:paraId="3E7B8CA6" w14:textId="25D0DE3D" w:rsidTr="00A71EB7">
        <w:trPr>
          <w:trHeight w:val="360"/>
        </w:trPr>
        <w:tc>
          <w:tcPr>
            <w:tcW w:w="10070" w:type="dxa"/>
            <w:gridSpan w:val="4"/>
            <w:tcBorders>
              <w:bottom w:val="single" w:sz="36" w:space="0" w:color="auto"/>
            </w:tcBorders>
          </w:tcPr>
          <w:p w14:paraId="58EA8F3E" w14:textId="6550B23D" w:rsidR="003940FB" w:rsidRPr="00110D69" w:rsidRDefault="003940FB" w:rsidP="003323F7">
            <w:pPr>
              <w:spacing w:after="0"/>
              <w:rPr>
                <w:b/>
              </w:rPr>
            </w:pPr>
            <w:bookmarkStart w:id="17" w:name="_Hlk15630116"/>
            <w:r w:rsidRPr="00110D69">
              <w:rPr>
                <w:b/>
              </w:rPr>
              <w:lastRenderedPageBreak/>
              <w:t>Table 2: Participating Districts and Counties</w:t>
            </w:r>
          </w:p>
        </w:tc>
      </w:tr>
      <w:tr w:rsidR="009B74B5" w:rsidRPr="00051340" w14:paraId="62F614B6" w14:textId="7D4FA76E" w:rsidTr="00A71EB7">
        <w:trPr>
          <w:trHeight w:val="288"/>
        </w:trPr>
        <w:tc>
          <w:tcPr>
            <w:tcW w:w="1033" w:type="dxa"/>
            <w:tcBorders>
              <w:top w:val="single" w:sz="36" w:space="0" w:color="auto"/>
              <w:bottom w:val="single" w:sz="4" w:space="0" w:color="auto"/>
            </w:tcBorders>
          </w:tcPr>
          <w:p w14:paraId="1CBEE94C" w14:textId="77777777" w:rsidR="009B74B5" w:rsidRPr="003940FB" w:rsidRDefault="009B74B5" w:rsidP="00D47DDD">
            <w:pPr>
              <w:spacing w:after="0"/>
              <w:jc w:val="center"/>
              <w:rPr>
                <w:b/>
                <w:i/>
                <w:sz w:val="22"/>
              </w:rPr>
            </w:pPr>
            <w:r w:rsidRPr="003940FB">
              <w:rPr>
                <w:b/>
                <w:i/>
                <w:sz w:val="22"/>
              </w:rPr>
              <w:t>District</w:t>
            </w:r>
          </w:p>
        </w:tc>
        <w:tc>
          <w:tcPr>
            <w:tcW w:w="6522" w:type="dxa"/>
            <w:tcBorders>
              <w:top w:val="single" w:sz="36" w:space="0" w:color="auto"/>
              <w:bottom w:val="single" w:sz="4" w:space="0" w:color="auto"/>
            </w:tcBorders>
          </w:tcPr>
          <w:p w14:paraId="6308C839" w14:textId="77777777" w:rsidR="009B74B5" w:rsidRPr="00D47DDD" w:rsidRDefault="009B74B5" w:rsidP="00D47DDD">
            <w:pPr>
              <w:spacing w:after="0"/>
              <w:rPr>
                <w:rFonts w:eastAsia="Times New Roman"/>
                <w:b/>
                <w:i/>
                <w:sz w:val="22"/>
              </w:rPr>
            </w:pPr>
            <w:r w:rsidRPr="00D47DDD">
              <w:rPr>
                <w:rFonts w:eastAsia="Times New Roman"/>
                <w:b/>
                <w:i/>
                <w:sz w:val="22"/>
              </w:rPr>
              <w:t xml:space="preserve">County </w:t>
            </w:r>
          </w:p>
        </w:tc>
        <w:tc>
          <w:tcPr>
            <w:tcW w:w="2515" w:type="dxa"/>
            <w:gridSpan w:val="2"/>
            <w:tcBorders>
              <w:top w:val="single" w:sz="36" w:space="0" w:color="auto"/>
              <w:bottom w:val="single" w:sz="4" w:space="0" w:color="auto"/>
            </w:tcBorders>
          </w:tcPr>
          <w:p w14:paraId="73D7298F" w14:textId="575425B2" w:rsidR="009B74B5" w:rsidRPr="00D47DDD" w:rsidRDefault="003940FB" w:rsidP="00D47DDD">
            <w:pPr>
              <w:spacing w:after="0"/>
              <w:rPr>
                <w:rFonts w:eastAsia="Times New Roman"/>
                <w:b/>
                <w:i/>
                <w:sz w:val="22"/>
              </w:rPr>
            </w:pPr>
            <w:r>
              <w:rPr>
                <w:rFonts w:eastAsia="Times New Roman"/>
                <w:b/>
                <w:i/>
                <w:sz w:val="22"/>
              </w:rPr>
              <w:t>2013–2017 Population</w:t>
            </w:r>
          </w:p>
        </w:tc>
      </w:tr>
      <w:bookmarkEnd w:id="17"/>
      <w:tr w:rsidR="008E403D" w:rsidRPr="00051340" w14:paraId="4DAB006F" w14:textId="476B1FAC" w:rsidTr="00295A23">
        <w:trPr>
          <w:trHeight w:val="288"/>
        </w:trPr>
        <w:tc>
          <w:tcPr>
            <w:tcW w:w="1033" w:type="dxa"/>
            <w:tcBorders>
              <w:top w:val="single" w:sz="4" w:space="0" w:color="auto"/>
            </w:tcBorders>
          </w:tcPr>
          <w:p w14:paraId="15857A70" w14:textId="77777777" w:rsidR="008E403D" w:rsidRPr="00D47DDD" w:rsidRDefault="008E403D" w:rsidP="00D47DDD">
            <w:pPr>
              <w:spacing w:after="0"/>
              <w:jc w:val="center"/>
              <w:rPr>
                <w:b/>
                <w:i/>
                <w:sz w:val="22"/>
              </w:rPr>
            </w:pPr>
            <w:r w:rsidRPr="00D47DDD">
              <w:rPr>
                <w:i/>
                <w:sz w:val="22"/>
              </w:rPr>
              <w:t>1</w:t>
            </w:r>
          </w:p>
        </w:tc>
        <w:tc>
          <w:tcPr>
            <w:tcW w:w="6522" w:type="dxa"/>
            <w:tcBorders>
              <w:top w:val="single" w:sz="4" w:space="0" w:color="auto"/>
            </w:tcBorders>
          </w:tcPr>
          <w:p w14:paraId="3CB6D8E1" w14:textId="77777777" w:rsidR="008E403D" w:rsidRPr="00D47DDD" w:rsidRDefault="008E403D" w:rsidP="00D47DDD">
            <w:pPr>
              <w:spacing w:after="0"/>
              <w:rPr>
                <w:rFonts w:eastAsia="Times New Roman"/>
                <w:sz w:val="22"/>
              </w:rPr>
            </w:pPr>
            <w:r w:rsidRPr="00D47DDD">
              <w:rPr>
                <w:rFonts w:eastAsia="Times New Roman"/>
                <w:sz w:val="22"/>
              </w:rPr>
              <w:t>Escambia, Okaloosa, Santa Rosa, and Walton</w:t>
            </w:r>
          </w:p>
        </w:tc>
        <w:tc>
          <w:tcPr>
            <w:tcW w:w="1710" w:type="dxa"/>
            <w:tcBorders>
              <w:top w:val="single" w:sz="4" w:space="0" w:color="auto"/>
            </w:tcBorders>
          </w:tcPr>
          <w:p w14:paraId="2280A90D" w14:textId="77777777" w:rsidR="008E403D" w:rsidRPr="00D47DDD" w:rsidRDefault="008E403D" w:rsidP="008E403D">
            <w:pPr>
              <w:spacing w:after="0"/>
              <w:jc w:val="right"/>
              <w:rPr>
                <w:rFonts w:eastAsia="Times New Roman"/>
                <w:sz w:val="22"/>
              </w:rPr>
            </w:pPr>
            <w:r w:rsidRPr="0015634D">
              <w:rPr>
                <w:rFonts w:eastAsia="Times New Roman"/>
                <w:sz w:val="22"/>
              </w:rPr>
              <w:t>737</w:t>
            </w:r>
            <w:r>
              <w:rPr>
                <w:rFonts w:eastAsia="Times New Roman"/>
                <w:sz w:val="22"/>
              </w:rPr>
              <w:t>,</w:t>
            </w:r>
            <w:r w:rsidRPr="0015634D">
              <w:rPr>
                <w:rFonts w:eastAsia="Times New Roman"/>
                <w:sz w:val="22"/>
              </w:rPr>
              <w:t>750</w:t>
            </w:r>
          </w:p>
        </w:tc>
        <w:tc>
          <w:tcPr>
            <w:tcW w:w="805" w:type="dxa"/>
            <w:tcBorders>
              <w:top w:val="single" w:sz="4" w:space="0" w:color="auto"/>
            </w:tcBorders>
          </w:tcPr>
          <w:p w14:paraId="73AAD409" w14:textId="4494FB7C" w:rsidR="008E403D" w:rsidRPr="00D47DDD" w:rsidRDefault="008E403D" w:rsidP="008E403D">
            <w:pPr>
              <w:spacing w:after="0"/>
              <w:rPr>
                <w:rFonts w:eastAsia="Times New Roman"/>
                <w:sz w:val="22"/>
              </w:rPr>
            </w:pPr>
          </w:p>
        </w:tc>
      </w:tr>
      <w:tr w:rsidR="008E403D" w:rsidRPr="00051340" w14:paraId="1DCFF8AF" w14:textId="3ABB5AAC" w:rsidTr="00295A23">
        <w:trPr>
          <w:trHeight w:val="288"/>
        </w:trPr>
        <w:tc>
          <w:tcPr>
            <w:tcW w:w="1033" w:type="dxa"/>
          </w:tcPr>
          <w:p w14:paraId="0E06F57F" w14:textId="4E8404F9" w:rsidR="008E403D" w:rsidRPr="00D47DDD" w:rsidRDefault="008E403D" w:rsidP="00D47DDD">
            <w:pPr>
              <w:spacing w:after="0"/>
              <w:jc w:val="center"/>
              <w:rPr>
                <w:b/>
                <w:i/>
                <w:sz w:val="22"/>
              </w:rPr>
            </w:pPr>
            <w:r w:rsidRPr="00D47DDD">
              <w:rPr>
                <w:i/>
                <w:sz w:val="22"/>
              </w:rPr>
              <w:t>2</w:t>
            </w:r>
          </w:p>
        </w:tc>
        <w:tc>
          <w:tcPr>
            <w:tcW w:w="6522" w:type="dxa"/>
          </w:tcPr>
          <w:p w14:paraId="3C04C395" w14:textId="37C0FEB3" w:rsidR="008E403D" w:rsidRPr="00D47DDD" w:rsidRDefault="008E403D" w:rsidP="00D47DDD">
            <w:pPr>
              <w:spacing w:after="0"/>
              <w:rPr>
                <w:rFonts w:eastAsia="Times New Roman"/>
                <w:sz w:val="22"/>
              </w:rPr>
            </w:pPr>
            <w:r w:rsidRPr="00D47DDD">
              <w:rPr>
                <w:rFonts w:eastAsia="Times New Roman"/>
                <w:sz w:val="22"/>
              </w:rPr>
              <w:t>Franklin, Gadsden, Jefferson, Leon, Liberty, Taylor, and Wakulla</w:t>
            </w:r>
          </w:p>
        </w:tc>
        <w:tc>
          <w:tcPr>
            <w:tcW w:w="1710" w:type="dxa"/>
          </w:tcPr>
          <w:p w14:paraId="0ED8FA04" w14:textId="77777777" w:rsidR="008E403D" w:rsidRPr="00D47DDD" w:rsidRDefault="008E403D" w:rsidP="008E403D">
            <w:pPr>
              <w:spacing w:after="0"/>
              <w:jc w:val="right"/>
              <w:rPr>
                <w:rFonts w:eastAsia="Times New Roman"/>
                <w:sz w:val="22"/>
              </w:rPr>
            </w:pPr>
            <w:r w:rsidRPr="0015634D">
              <w:rPr>
                <w:rFonts w:eastAsia="Times New Roman"/>
                <w:sz w:val="22"/>
              </w:rPr>
              <w:t>420</w:t>
            </w:r>
            <w:r>
              <w:rPr>
                <w:rFonts w:eastAsia="Times New Roman"/>
                <w:sz w:val="22"/>
              </w:rPr>
              <w:t>,</w:t>
            </w:r>
            <w:r w:rsidRPr="0015634D">
              <w:rPr>
                <w:rFonts w:eastAsia="Times New Roman"/>
                <w:sz w:val="22"/>
              </w:rPr>
              <w:t>046</w:t>
            </w:r>
          </w:p>
        </w:tc>
        <w:tc>
          <w:tcPr>
            <w:tcW w:w="805" w:type="dxa"/>
          </w:tcPr>
          <w:p w14:paraId="40925ED6" w14:textId="7FBCF391" w:rsidR="008E403D" w:rsidRPr="00D47DDD" w:rsidRDefault="008E403D" w:rsidP="008E403D">
            <w:pPr>
              <w:spacing w:after="0"/>
              <w:rPr>
                <w:rFonts w:eastAsia="Times New Roman"/>
                <w:sz w:val="22"/>
              </w:rPr>
            </w:pPr>
          </w:p>
        </w:tc>
      </w:tr>
      <w:tr w:rsidR="008E403D" w:rsidRPr="00051340" w14:paraId="1183C9D3" w14:textId="4E8B0115" w:rsidTr="00295A23">
        <w:trPr>
          <w:trHeight w:val="288"/>
        </w:trPr>
        <w:tc>
          <w:tcPr>
            <w:tcW w:w="1033" w:type="dxa"/>
          </w:tcPr>
          <w:p w14:paraId="1FDCDB0C" w14:textId="07E268D1" w:rsidR="008E403D" w:rsidRPr="00D47DDD" w:rsidRDefault="008E403D" w:rsidP="00D47DDD">
            <w:pPr>
              <w:spacing w:after="0"/>
              <w:jc w:val="center"/>
              <w:rPr>
                <w:b/>
                <w:i/>
                <w:sz w:val="22"/>
              </w:rPr>
            </w:pPr>
            <w:r w:rsidRPr="00D47DDD">
              <w:rPr>
                <w:i/>
                <w:sz w:val="22"/>
              </w:rPr>
              <w:t>3</w:t>
            </w:r>
          </w:p>
        </w:tc>
        <w:tc>
          <w:tcPr>
            <w:tcW w:w="6522" w:type="dxa"/>
          </w:tcPr>
          <w:p w14:paraId="76CC2A68" w14:textId="1A9980C3" w:rsidR="008E403D" w:rsidRPr="00D47DDD" w:rsidRDefault="008E403D" w:rsidP="00D47DDD">
            <w:pPr>
              <w:spacing w:after="0"/>
              <w:rPr>
                <w:rFonts w:eastAsia="Times New Roman"/>
                <w:sz w:val="22"/>
              </w:rPr>
            </w:pPr>
            <w:r w:rsidRPr="00D47DDD">
              <w:rPr>
                <w:rFonts w:eastAsia="Times New Roman"/>
                <w:sz w:val="22"/>
              </w:rPr>
              <w:t>Columbia, Dixie, Hamilton, Lafayette, Madison, and Suwannee</w:t>
            </w:r>
          </w:p>
        </w:tc>
        <w:tc>
          <w:tcPr>
            <w:tcW w:w="1710" w:type="dxa"/>
          </w:tcPr>
          <w:p w14:paraId="62B94D88" w14:textId="77777777" w:rsidR="008E403D" w:rsidRPr="00D47DDD" w:rsidRDefault="008E403D" w:rsidP="008E403D">
            <w:pPr>
              <w:spacing w:after="0"/>
              <w:jc w:val="right"/>
              <w:rPr>
                <w:rFonts w:eastAsia="Times New Roman"/>
                <w:sz w:val="22"/>
              </w:rPr>
            </w:pPr>
            <w:r w:rsidRPr="0015634D">
              <w:rPr>
                <w:rFonts w:eastAsia="Times New Roman"/>
                <w:sz w:val="22"/>
              </w:rPr>
              <w:t>170</w:t>
            </w:r>
            <w:r>
              <w:rPr>
                <w:rFonts w:eastAsia="Times New Roman"/>
                <w:sz w:val="22"/>
              </w:rPr>
              <w:t>,</w:t>
            </w:r>
            <w:r w:rsidRPr="0015634D">
              <w:rPr>
                <w:rFonts w:eastAsia="Times New Roman"/>
                <w:sz w:val="22"/>
              </w:rPr>
              <w:t>061</w:t>
            </w:r>
          </w:p>
        </w:tc>
        <w:tc>
          <w:tcPr>
            <w:tcW w:w="805" w:type="dxa"/>
          </w:tcPr>
          <w:p w14:paraId="45B56815" w14:textId="1709817D" w:rsidR="008E403D" w:rsidRPr="00D47DDD" w:rsidRDefault="008E403D" w:rsidP="008E403D">
            <w:pPr>
              <w:spacing w:after="0"/>
              <w:rPr>
                <w:rFonts w:eastAsia="Times New Roman"/>
                <w:sz w:val="22"/>
              </w:rPr>
            </w:pPr>
          </w:p>
        </w:tc>
      </w:tr>
      <w:tr w:rsidR="008E403D" w:rsidRPr="00051340" w14:paraId="3C9DD2C1" w14:textId="39125960" w:rsidTr="00295A23">
        <w:trPr>
          <w:trHeight w:val="288"/>
        </w:trPr>
        <w:tc>
          <w:tcPr>
            <w:tcW w:w="1033" w:type="dxa"/>
          </w:tcPr>
          <w:p w14:paraId="343C9437" w14:textId="77777777" w:rsidR="008E403D" w:rsidRPr="00D47DDD" w:rsidRDefault="008E403D" w:rsidP="00D47DDD">
            <w:pPr>
              <w:spacing w:after="0"/>
              <w:jc w:val="center"/>
              <w:rPr>
                <w:b/>
                <w:i/>
                <w:sz w:val="22"/>
              </w:rPr>
            </w:pPr>
            <w:r w:rsidRPr="00D47DDD">
              <w:rPr>
                <w:i/>
                <w:sz w:val="22"/>
              </w:rPr>
              <w:t>4</w:t>
            </w:r>
          </w:p>
        </w:tc>
        <w:tc>
          <w:tcPr>
            <w:tcW w:w="6522" w:type="dxa"/>
          </w:tcPr>
          <w:p w14:paraId="130EDF6B" w14:textId="77777777" w:rsidR="008E403D" w:rsidRPr="00D47DDD" w:rsidRDefault="008E403D" w:rsidP="00D47DDD">
            <w:pPr>
              <w:spacing w:after="0"/>
              <w:rPr>
                <w:rFonts w:eastAsia="Times New Roman"/>
                <w:sz w:val="22"/>
              </w:rPr>
            </w:pPr>
            <w:r w:rsidRPr="00D47DDD">
              <w:rPr>
                <w:rFonts w:eastAsia="Times New Roman"/>
                <w:sz w:val="22"/>
              </w:rPr>
              <w:t>Clay, Duval, Nassau, Columbia and Hamilton</w:t>
            </w:r>
          </w:p>
        </w:tc>
        <w:tc>
          <w:tcPr>
            <w:tcW w:w="1710" w:type="dxa"/>
          </w:tcPr>
          <w:p w14:paraId="5BAFD6CF" w14:textId="77777777" w:rsidR="008E403D" w:rsidRPr="00D47DDD" w:rsidRDefault="008E403D" w:rsidP="008E403D">
            <w:pPr>
              <w:spacing w:after="0"/>
              <w:jc w:val="right"/>
              <w:rPr>
                <w:rFonts w:eastAsia="Times New Roman"/>
                <w:sz w:val="22"/>
              </w:rPr>
            </w:pPr>
            <w:r w:rsidRPr="0015634D">
              <w:rPr>
                <w:rFonts w:eastAsia="Times New Roman"/>
                <w:sz w:val="22"/>
              </w:rPr>
              <w:t>1</w:t>
            </w:r>
            <w:r>
              <w:rPr>
                <w:rFonts w:eastAsia="Times New Roman"/>
                <w:sz w:val="22"/>
              </w:rPr>
              <w:t>,</w:t>
            </w:r>
            <w:r w:rsidRPr="0015634D">
              <w:rPr>
                <w:rFonts w:eastAsia="Times New Roman"/>
                <w:sz w:val="22"/>
              </w:rPr>
              <w:t>193</w:t>
            </w:r>
            <w:r>
              <w:rPr>
                <w:rFonts w:eastAsia="Times New Roman"/>
                <w:sz w:val="22"/>
              </w:rPr>
              <w:t>,</w:t>
            </w:r>
            <w:r w:rsidRPr="0015634D">
              <w:rPr>
                <w:rFonts w:eastAsia="Times New Roman"/>
                <w:sz w:val="22"/>
              </w:rPr>
              <w:t>769</w:t>
            </w:r>
          </w:p>
        </w:tc>
        <w:tc>
          <w:tcPr>
            <w:tcW w:w="805" w:type="dxa"/>
          </w:tcPr>
          <w:p w14:paraId="0FFB7ADD" w14:textId="782FC545" w:rsidR="008E403D" w:rsidRPr="00D47DDD" w:rsidRDefault="008E403D" w:rsidP="008E403D">
            <w:pPr>
              <w:spacing w:after="0"/>
              <w:rPr>
                <w:rFonts w:eastAsia="Times New Roman"/>
                <w:sz w:val="22"/>
              </w:rPr>
            </w:pPr>
          </w:p>
        </w:tc>
      </w:tr>
      <w:tr w:rsidR="008E403D" w:rsidRPr="00051340" w14:paraId="7B4FA4DA" w14:textId="6FD77E54" w:rsidTr="00295A23">
        <w:trPr>
          <w:trHeight w:val="288"/>
        </w:trPr>
        <w:tc>
          <w:tcPr>
            <w:tcW w:w="1033" w:type="dxa"/>
          </w:tcPr>
          <w:p w14:paraId="0DAB0983" w14:textId="77777777" w:rsidR="008E403D" w:rsidRPr="00D47DDD" w:rsidRDefault="008E403D" w:rsidP="00D47DDD">
            <w:pPr>
              <w:spacing w:after="0"/>
              <w:jc w:val="center"/>
              <w:rPr>
                <w:b/>
                <w:i/>
                <w:sz w:val="22"/>
              </w:rPr>
            </w:pPr>
            <w:r w:rsidRPr="00D47DDD">
              <w:rPr>
                <w:i/>
                <w:sz w:val="22"/>
              </w:rPr>
              <w:t>6</w:t>
            </w:r>
          </w:p>
        </w:tc>
        <w:tc>
          <w:tcPr>
            <w:tcW w:w="6522" w:type="dxa"/>
          </w:tcPr>
          <w:p w14:paraId="7598A06E" w14:textId="77777777" w:rsidR="008E403D" w:rsidRPr="00D47DDD" w:rsidRDefault="008E403D" w:rsidP="00D47DDD">
            <w:pPr>
              <w:spacing w:after="0"/>
              <w:rPr>
                <w:sz w:val="22"/>
              </w:rPr>
            </w:pPr>
            <w:r w:rsidRPr="00D47DDD">
              <w:rPr>
                <w:rFonts w:eastAsia="Times New Roman"/>
                <w:sz w:val="22"/>
              </w:rPr>
              <w:t>Pasco and Pinellas</w:t>
            </w:r>
          </w:p>
        </w:tc>
        <w:tc>
          <w:tcPr>
            <w:tcW w:w="1710" w:type="dxa"/>
          </w:tcPr>
          <w:p w14:paraId="4F4026F0" w14:textId="77777777" w:rsidR="008E403D" w:rsidRPr="00D47DDD" w:rsidRDefault="008E403D" w:rsidP="008E403D">
            <w:pPr>
              <w:spacing w:after="0"/>
              <w:jc w:val="right"/>
              <w:rPr>
                <w:rFonts w:eastAsia="Times New Roman"/>
                <w:sz w:val="22"/>
              </w:rPr>
            </w:pPr>
            <w:r w:rsidRPr="00C67E20">
              <w:rPr>
                <w:rFonts w:eastAsia="Times New Roman"/>
                <w:sz w:val="22"/>
              </w:rPr>
              <w:t>1</w:t>
            </w:r>
            <w:r>
              <w:rPr>
                <w:rFonts w:eastAsia="Times New Roman"/>
                <w:sz w:val="22"/>
              </w:rPr>
              <w:t>,</w:t>
            </w:r>
            <w:r w:rsidRPr="00C67E20">
              <w:rPr>
                <w:rFonts w:eastAsia="Times New Roman"/>
                <w:sz w:val="22"/>
              </w:rPr>
              <w:t>447</w:t>
            </w:r>
            <w:r>
              <w:rPr>
                <w:rFonts w:eastAsia="Times New Roman"/>
                <w:sz w:val="22"/>
              </w:rPr>
              <w:t>,</w:t>
            </w:r>
            <w:r w:rsidRPr="00C67E20">
              <w:rPr>
                <w:rFonts w:eastAsia="Times New Roman"/>
                <w:sz w:val="22"/>
              </w:rPr>
              <w:t>978</w:t>
            </w:r>
          </w:p>
        </w:tc>
        <w:tc>
          <w:tcPr>
            <w:tcW w:w="805" w:type="dxa"/>
          </w:tcPr>
          <w:p w14:paraId="39164E8F" w14:textId="6026E586" w:rsidR="008E403D" w:rsidRPr="00D47DDD" w:rsidRDefault="008E403D" w:rsidP="008E403D">
            <w:pPr>
              <w:spacing w:after="0"/>
              <w:rPr>
                <w:rFonts w:eastAsia="Times New Roman"/>
                <w:sz w:val="22"/>
              </w:rPr>
            </w:pPr>
          </w:p>
        </w:tc>
      </w:tr>
      <w:tr w:rsidR="008E403D" w:rsidRPr="00051340" w14:paraId="0C37B9B5" w14:textId="64EA68A7" w:rsidTr="00295A23">
        <w:trPr>
          <w:trHeight w:val="288"/>
        </w:trPr>
        <w:tc>
          <w:tcPr>
            <w:tcW w:w="1033" w:type="dxa"/>
          </w:tcPr>
          <w:p w14:paraId="39743A01" w14:textId="77777777" w:rsidR="008E403D" w:rsidRPr="00D47DDD" w:rsidRDefault="008E403D" w:rsidP="00D47DDD">
            <w:pPr>
              <w:spacing w:after="0"/>
              <w:jc w:val="center"/>
              <w:rPr>
                <w:b/>
                <w:i/>
                <w:sz w:val="22"/>
              </w:rPr>
            </w:pPr>
            <w:r w:rsidRPr="00D47DDD">
              <w:rPr>
                <w:i/>
                <w:sz w:val="22"/>
              </w:rPr>
              <w:t>7</w:t>
            </w:r>
          </w:p>
        </w:tc>
        <w:tc>
          <w:tcPr>
            <w:tcW w:w="6522" w:type="dxa"/>
          </w:tcPr>
          <w:p w14:paraId="3AE2071D" w14:textId="752E9F3D" w:rsidR="008E403D" w:rsidRPr="00D47DDD" w:rsidRDefault="008E403D" w:rsidP="00D47DDD">
            <w:pPr>
              <w:spacing w:after="0"/>
              <w:rPr>
                <w:sz w:val="22"/>
              </w:rPr>
            </w:pPr>
            <w:r w:rsidRPr="00D47DDD">
              <w:rPr>
                <w:rFonts w:eastAsia="Times New Roman"/>
                <w:sz w:val="22"/>
              </w:rPr>
              <w:t>Volusia</w:t>
            </w:r>
          </w:p>
        </w:tc>
        <w:tc>
          <w:tcPr>
            <w:tcW w:w="1710" w:type="dxa"/>
          </w:tcPr>
          <w:p w14:paraId="45E89FCD" w14:textId="77777777" w:rsidR="008E403D" w:rsidRPr="00D47DDD" w:rsidRDefault="008E403D" w:rsidP="008E403D">
            <w:pPr>
              <w:spacing w:after="0"/>
              <w:jc w:val="right"/>
              <w:rPr>
                <w:rFonts w:eastAsia="Times New Roman"/>
                <w:sz w:val="22"/>
              </w:rPr>
            </w:pPr>
            <w:r w:rsidRPr="00C67E20">
              <w:rPr>
                <w:rFonts w:eastAsia="Times New Roman"/>
                <w:sz w:val="22"/>
              </w:rPr>
              <w:t>518</w:t>
            </w:r>
            <w:r>
              <w:rPr>
                <w:rFonts w:eastAsia="Times New Roman"/>
                <w:sz w:val="22"/>
              </w:rPr>
              <w:t>,</w:t>
            </w:r>
            <w:r w:rsidRPr="00C67E20">
              <w:rPr>
                <w:rFonts w:eastAsia="Times New Roman"/>
                <w:sz w:val="22"/>
              </w:rPr>
              <w:t>660</w:t>
            </w:r>
          </w:p>
        </w:tc>
        <w:tc>
          <w:tcPr>
            <w:tcW w:w="805" w:type="dxa"/>
          </w:tcPr>
          <w:p w14:paraId="0FBDA896" w14:textId="4F10786C" w:rsidR="008E403D" w:rsidRPr="00D47DDD" w:rsidRDefault="008E403D" w:rsidP="008E403D">
            <w:pPr>
              <w:spacing w:after="0"/>
              <w:rPr>
                <w:rFonts w:eastAsia="Times New Roman"/>
                <w:sz w:val="22"/>
              </w:rPr>
            </w:pPr>
          </w:p>
        </w:tc>
      </w:tr>
      <w:tr w:rsidR="008E403D" w:rsidRPr="00051340" w14:paraId="13D0FD7D" w14:textId="4EF9667E" w:rsidTr="00295A23">
        <w:trPr>
          <w:trHeight w:val="288"/>
        </w:trPr>
        <w:tc>
          <w:tcPr>
            <w:tcW w:w="1033" w:type="dxa"/>
          </w:tcPr>
          <w:p w14:paraId="6F159BDB" w14:textId="53996DB0" w:rsidR="008E403D" w:rsidRPr="00D47DDD" w:rsidRDefault="008E403D" w:rsidP="00D47DDD">
            <w:pPr>
              <w:spacing w:after="0"/>
              <w:jc w:val="center"/>
              <w:rPr>
                <w:b/>
                <w:i/>
                <w:sz w:val="22"/>
              </w:rPr>
            </w:pPr>
            <w:r w:rsidRPr="00D47DDD">
              <w:rPr>
                <w:i/>
                <w:sz w:val="22"/>
              </w:rPr>
              <w:t>8</w:t>
            </w:r>
          </w:p>
        </w:tc>
        <w:tc>
          <w:tcPr>
            <w:tcW w:w="6522" w:type="dxa"/>
          </w:tcPr>
          <w:p w14:paraId="2B090351" w14:textId="773A3DA2" w:rsidR="008E403D" w:rsidRPr="00D47DDD" w:rsidRDefault="008E403D" w:rsidP="00D47DDD">
            <w:pPr>
              <w:spacing w:after="0"/>
              <w:rPr>
                <w:rFonts w:eastAsia="Times New Roman"/>
                <w:sz w:val="22"/>
              </w:rPr>
            </w:pPr>
            <w:r w:rsidRPr="00D47DDD">
              <w:rPr>
                <w:rFonts w:eastAsia="Times New Roman"/>
                <w:sz w:val="22"/>
              </w:rPr>
              <w:t>Alachua, Baker, Bradford, Gilchrist, Levy, and Union</w:t>
            </w:r>
          </w:p>
        </w:tc>
        <w:tc>
          <w:tcPr>
            <w:tcW w:w="1710" w:type="dxa"/>
          </w:tcPr>
          <w:p w14:paraId="4FEA7364" w14:textId="77777777" w:rsidR="008E403D" w:rsidRPr="00D47DDD" w:rsidRDefault="008E403D" w:rsidP="008E403D">
            <w:pPr>
              <w:spacing w:after="0"/>
              <w:jc w:val="right"/>
              <w:rPr>
                <w:rFonts w:eastAsia="Times New Roman"/>
                <w:sz w:val="22"/>
              </w:rPr>
            </w:pPr>
            <w:r w:rsidRPr="00C67E20">
              <w:rPr>
                <w:rFonts w:eastAsia="Times New Roman"/>
                <w:sz w:val="22"/>
              </w:rPr>
              <w:t>386</w:t>
            </w:r>
            <w:r>
              <w:rPr>
                <w:rFonts w:eastAsia="Times New Roman"/>
                <w:sz w:val="22"/>
              </w:rPr>
              <w:t>,</w:t>
            </w:r>
            <w:r w:rsidRPr="00C67E20">
              <w:rPr>
                <w:rFonts w:eastAsia="Times New Roman"/>
                <w:sz w:val="22"/>
              </w:rPr>
              <w:t>381</w:t>
            </w:r>
          </w:p>
        </w:tc>
        <w:tc>
          <w:tcPr>
            <w:tcW w:w="805" w:type="dxa"/>
          </w:tcPr>
          <w:p w14:paraId="50DDC5F1" w14:textId="65B79C0C" w:rsidR="008E403D" w:rsidRPr="00D47DDD" w:rsidRDefault="008E403D" w:rsidP="008E403D">
            <w:pPr>
              <w:spacing w:after="0"/>
              <w:rPr>
                <w:rFonts w:eastAsia="Times New Roman"/>
                <w:sz w:val="22"/>
              </w:rPr>
            </w:pPr>
          </w:p>
        </w:tc>
      </w:tr>
      <w:tr w:rsidR="008E403D" w:rsidRPr="00051340" w14:paraId="13BB948B" w14:textId="16D079BC" w:rsidTr="00295A23">
        <w:trPr>
          <w:trHeight w:val="288"/>
        </w:trPr>
        <w:tc>
          <w:tcPr>
            <w:tcW w:w="1033" w:type="dxa"/>
          </w:tcPr>
          <w:p w14:paraId="50DC03E2" w14:textId="77777777" w:rsidR="008E403D" w:rsidRPr="00D47DDD" w:rsidRDefault="008E403D" w:rsidP="00D47DDD">
            <w:pPr>
              <w:spacing w:after="0"/>
              <w:jc w:val="center"/>
              <w:rPr>
                <w:b/>
                <w:i/>
                <w:sz w:val="22"/>
              </w:rPr>
            </w:pPr>
            <w:r w:rsidRPr="00D47DDD">
              <w:rPr>
                <w:i/>
                <w:sz w:val="22"/>
              </w:rPr>
              <w:t>9</w:t>
            </w:r>
          </w:p>
        </w:tc>
        <w:tc>
          <w:tcPr>
            <w:tcW w:w="6522" w:type="dxa"/>
          </w:tcPr>
          <w:p w14:paraId="238DD89C" w14:textId="5EAF3501" w:rsidR="008E403D" w:rsidRPr="00D47DDD" w:rsidRDefault="008E403D" w:rsidP="00D47DDD">
            <w:pPr>
              <w:spacing w:after="0"/>
              <w:rPr>
                <w:sz w:val="22"/>
              </w:rPr>
            </w:pPr>
            <w:r w:rsidRPr="00D47DDD">
              <w:rPr>
                <w:rFonts w:eastAsia="Times New Roman"/>
                <w:sz w:val="22"/>
              </w:rPr>
              <w:t>Orange</w:t>
            </w:r>
          </w:p>
        </w:tc>
        <w:tc>
          <w:tcPr>
            <w:tcW w:w="1710" w:type="dxa"/>
          </w:tcPr>
          <w:p w14:paraId="3E8B9155" w14:textId="77777777" w:rsidR="008E403D" w:rsidRPr="00D47DDD" w:rsidRDefault="008E403D" w:rsidP="008E403D">
            <w:pPr>
              <w:spacing w:after="0"/>
              <w:jc w:val="right"/>
              <w:rPr>
                <w:rFonts w:eastAsia="Times New Roman"/>
                <w:sz w:val="22"/>
              </w:rPr>
            </w:pPr>
            <w:r w:rsidRPr="00C67E20">
              <w:rPr>
                <w:rFonts w:eastAsia="Times New Roman"/>
                <w:sz w:val="22"/>
              </w:rPr>
              <w:t>1</w:t>
            </w:r>
            <w:r>
              <w:rPr>
                <w:rFonts w:eastAsia="Times New Roman"/>
                <w:sz w:val="22"/>
              </w:rPr>
              <w:t>,</w:t>
            </w:r>
            <w:r w:rsidRPr="00C67E20">
              <w:rPr>
                <w:rFonts w:eastAsia="Times New Roman"/>
                <w:sz w:val="22"/>
              </w:rPr>
              <w:t>290</w:t>
            </w:r>
            <w:r>
              <w:rPr>
                <w:rFonts w:eastAsia="Times New Roman"/>
                <w:sz w:val="22"/>
              </w:rPr>
              <w:t>,</w:t>
            </w:r>
            <w:r w:rsidRPr="00C67E20">
              <w:rPr>
                <w:rFonts w:eastAsia="Times New Roman"/>
                <w:sz w:val="22"/>
              </w:rPr>
              <w:t>216</w:t>
            </w:r>
          </w:p>
        </w:tc>
        <w:tc>
          <w:tcPr>
            <w:tcW w:w="805" w:type="dxa"/>
          </w:tcPr>
          <w:p w14:paraId="56DAD9DE" w14:textId="7C9A17AF" w:rsidR="008E403D" w:rsidRPr="00D47DDD" w:rsidRDefault="008E403D" w:rsidP="008E403D">
            <w:pPr>
              <w:spacing w:after="0"/>
              <w:rPr>
                <w:rFonts w:eastAsia="Times New Roman"/>
                <w:sz w:val="22"/>
              </w:rPr>
            </w:pPr>
          </w:p>
        </w:tc>
      </w:tr>
      <w:tr w:rsidR="008E403D" w:rsidRPr="00051340" w14:paraId="7B09BF0D" w14:textId="06256142" w:rsidTr="00295A23">
        <w:trPr>
          <w:trHeight w:val="288"/>
        </w:trPr>
        <w:tc>
          <w:tcPr>
            <w:tcW w:w="1033" w:type="dxa"/>
          </w:tcPr>
          <w:p w14:paraId="1E3E50FF" w14:textId="77777777" w:rsidR="008E403D" w:rsidRPr="00D47DDD" w:rsidRDefault="008E403D" w:rsidP="00D47DDD">
            <w:pPr>
              <w:spacing w:after="0"/>
              <w:jc w:val="center"/>
              <w:rPr>
                <w:b/>
                <w:i/>
                <w:sz w:val="22"/>
              </w:rPr>
            </w:pPr>
            <w:r w:rsidRPr="00D47DDD">
              <w:rPr>
                <w:i/>
                <w:sz w:val="22"/>
              </w:rPr>
              <w:t>10</w:t>
            </w:r>
          </w:p>
        </w:tc>
        <w:tc>
          <w:tcPr>
            <w:tcW w:w="6522" w:type="dxa"/>
          </w:tcPr>
          <w:p w14:paraId="57B5F877" w14:textId="77777777" w:rsidR="008E403D" w:rsidRPr="00D47DDD" w:rsidRDefault="008E403D" w:rsidP="00D47DDD">
            <w:pPr>
              <w:spacing w:after="0"/>
              <w:rPr>
                <w:sz w:val="22"/>
              </w:rPr>
            </w:pPr>
            <w:r w:rsidRPr="00D47DDD">
              <w:rPr>
                <w:rFonts w:eastAsia="Times New Roman"/>
                <w:sz w:val="22"/>
              </w:rPr>
              <w:t>Hardee, Highlands, and Polk</w:t>
            </w:r>
          </w:p>
        </w:tc>
        <w:tc>
          <w:tcPr>
            <w:tcW w:w="1710" w:type="dxa"/>
          </w:tcPr>
          <w:p w14:paraId="7B057154" w14:textId="77777777" w:rsidR="008E403D" w:rsidRPr="00D47DDD" w:rsidRDefault="008E403D" w:rsidP="008E403D">
            <w:pPr>
              <w:spacing w:after="0"/>
              <w:jc w:val="right"/>
              <w:rPr>
                <w:rFonts w:eastAsia="Times New Roman"/>
                <w:sz w:val="22"/>
              </w:rPr>
            </w:pPr>
            <w:r w:rsidRPr="007147C6">
              <w:rPr>
                <w:rFonts w:eastAsia="Times New Roman"/>
                <w:sz w:val="22"/>
              </w:rPr>
              <w:t>779</w:t>
            </w:r>
            <w:r>
              <w:rPr>
                <w:rFonts w:eastAsia="Times New Roman"/>
                <w:sz w:val="22"/>
              </w:rPr>
              <w:t>,</w:t>
            </w:r>
            <w:r w:rsidRPr="007147C6">
              <w:rPr>
                <w:rFonts w:eastAsia="Times New Roman"/>
                <w:sz w:val="22"/>
              </w:rPr>
              <w:t>759</w:t>
            </w:r>
          </w:p>
        </w:tc>
        <w:tc>
          <w:tcPr>
            <w:tcW w:w="805" w:type="dxa"/>
          </w:tcPr>
          <w:p w14:paraId="6310E370" w14:textId="4EE9D10B" w:rsidR="008E403D" w:rsidRPr="00D47DDD" w:rsidRDefault="008E403D" w:rsidP="008E403D">
            <w:pPr>
              <w:spacing w:after="0"/>
              <w:rPr>
                <w:rFonts w:eastAsia="Times New Roman"/>
                <w:sz w:val="22"/>
              </w:rPr>
            </w:pPr>
          </w:p>
        </w:tc>
      </w:tr>
      <w:tr w:rsidR="008E403D" w:rsidRPr="00051340" w14:paraId="6BD78920" w14:textId="0AB6AA6C" w:rsidTr="00295A23">
        <w:trPr>
          <w:trHeight w:val="288"/>
        </w:trPr>
        <w:tc>
          <w:tcPr>
            <w:tcW w:w="1033" w:type="dxa"/>
          </w:tcPr>
          <w:p w14:paraId="3FF33D0D" w14:textId="77777777" w:rsidR="008E403D" w:rsidRPr="00D47DDD" w:rsidRDefault="008E403D" w:rsidP="008E403D">
            <w:pPr>
              <w:spacing w:after="0"/>
              <w:jc w:val="center"/>
              <w:rPr>
                <w:b/>
                <w:i/>
                <w:sz w:val="22"/>
              </w:rPr>
            </w:pPr>
            <w:r w:rsidRPr="00D47DDD">
              <w:rPr>
                <w:i/>
                <w:sz w:val="22"/>
              </w:rPr>
              <w:t>11</w:t>
            </w:r>
          </w:p>
        </w:tc>
        <w:tc>
          <w:tcPr>
            <w:tcW w:w="6522" w:type="dxa"/>
          </w:tcPr>
          <w:p w14:paraId="7179E1C7" w14:textId="77777777" w:rsidR="008E403D" w:rsidRPr="00D47DDD" w:rsidRDefault="008E403D" w:rsidP="008E403D">
            <w:pPr>
              <w:spacing w:after="0"/>
              <w:rPr>
                <w:sz w:val="22"/>
              </w:rPr>
            </w:pPr>
            <w:r w:rsidRPr="00D47DDD">
              <w:rPr>
                <w:rFonts w:eastAsia="Times New Roman"/>
                <w:sz w:val="22"/>
              </w:rPr>
              <w:t>Miami-Dade</w:t>
            </w:r>
          </w:p>
        </w:tc>
        <w:tc>
          <w:tcPr>
            <w:tcW w:w="1710" w:type="dxa"/>
            <w:vAlign w:val="center"/>
          </w:tcPr>
          <w:p w14:paraId="7AA519E0" w14:textId="77777777" w:rsidR="008E403D" w:rsidRPr="00D47DDD" w:rsidRDefault="008E403D" w:rsidP="008E403D">
            <w:pPr>
              <w:spacing w:after="0"/>
              <w:jc w:val="right"/>
              <w:rPr>
                <w:rFonts w:eastAsia="Times New Roman"/>
                <w:sz w:val="22"/>
              </w:rPr>
            </w:pPr>
            <w:r>
              <w:rPr>
                <w:color w:val="000000"/>
                <w:sz w:val="22"/>
                <w:szCs w:val="22"/>
              </w:rPr>
              <w:t>2,702,602</w:t>
            </w:r>
          </w:p>
        </w:tc>
        <w:tc>
          <w:tcPr>
            <w:tcW w:w="805" w:type="dxa"/>
            <w:vAlign w:val="center"/>
          </w:tcPr>
          <w:p w14:paraId="1CB4AF34" w14:textId="567C53BB" w:rsidR="008E403D" w:rsidRPr="00D47DDD" w:rsidRDefault="008E403D" w:rsidP="008E403D">
            <w:pPr>
              <w:spacing w:after="0"/>
              <w:rPr>
                <w:rFonts w:eastAsia="Times New Roman"/>
                <w:sz w:val="22"/>
              </w:rPr>
            </w:pPr>
          </w:p>
        </w:tc>
      </w:tr>
      <w:tr w:rsidR="008E403D" w:rsidRPr="00051340" w14:paraId="5764537F" w14:textId="1E207F8B" w:rsidTr="00295A23">
        <w:trPr>
          <w:trHeight w:val="288"/>
        </w:trPr>
        <w:tc>
          <w:tcPr>
            <w:tcW w:w="1033" w:type="dxa"/>
          </w:tcPr>
          <w:p w14:paraId="46B477F3" w14:textId="77777777" w:rsidR="008E403D" w:rsidRPr="00D47DDD" w:rsidRDefault="008E403D" w:rsidP="008E403D">
            <w:pPr>
              <w:spacing w:after="0"/>
              <w:jc w:val="center"/>
              <w:rPr>
                <w:b/>
                <w:i/>
                <w:sz w:val="22"/>
              </w:rPr>
            </w:pPr>
            <w:r w:rsidRPr="00D47DDD">
              <w:rPr>
                <w:i/>
                <w:sz w:val="22"/>
              </w:rPr>
              <w:t>12</w:t>
            </w:r>
          </w:p>
        </w:tc>
        <w:tc>
          <w:tcPr>
            <w:tcW w:w="6522" w:type="dxa"/>
          </w:tcPr>
          <w:p w14:paraId="146A91B4" w14:textId="77777777" w:rsidR="008E403D" w:rsidRPr="00D47DDD" w:rsidRDefault="008E403D" w:rsidP="008E403D">
            <w:pPr>
              <w:spacing w:after="0"/>
              <w:rPr>
                <w:sz w:val="22"/>
              </w:rPr>
            </w:pPr>
            <w:r w:rsidRPr="00D47DDD">
              <w:rPr>
                <w:rFonts w:eastAsia="Times New Roman"/>
                <w:sz w:val="22"/>
              </w:rPr>
              <w:t>Desoto, Manatee, and Sarasota</w:t>
            </w:r>
          </w:p>
        </w:tc>
        <w:tc>
          <w:tcPr>
            <w:tcW w:w="1710" w:type="dxa"/>
            <w:vAlign w:val="center"/>
          </w:tcPr>
          <w:p w14:paraId="35437E34" w14:textId="77777777" w:rsidR="008E403D" w:rsidRPr="00D47DDD" w:rsidRDefault="008E403D" w:rsidP="008E403D">
            <w:pPr>
              <w:spacing w:after="0"/>
              <w:jc w:val="right"/>
              <w:rPr>
                <w:rFonts w:eastAsia="Times New Roman"/>
                <w:sz w:val="22"/>
              </w:rPr>
            </w:pPr>
            <w:r>
              <w:rPr>
                <w:color w:val="000000"/>
                <w:sz w:val="22"/>
                <w:szCs w:val="22"/>
              </w:rPr>
              <w:t>804,056</w:t>
            </w:r>
          </w:p>
        </w:tc>
        <w:tc>
          <w:tcPr>
            <w:tcW w:w="805" w:type="dxa"/>
            <w:vAlign w:val="center"/>
          </w:tcPr>
          <w:p w14:paraId="5FC9C8F1" w14:textId="1B37584F" w:rsidR="008E403D" w:rsidRPr="00D47DDD" w:rsidRDefault="008E403D" w:rsidP="008E403D">
            <w:pPr>
              <w:spacing w:after="0"/>
              <w:rPr>
                <w:rFonts w:eastAsia="Times New Roman"/>
                <w:sz w:val="22"/>
              </w:rPr>
            </w:pPr>
          </w:p>
        </w:tc>
      </w:tr>
      <w:tr w:rsidR="008E403D" w:rsidRPr="00051340" w14:paraId="2DD491D1" w14:textId="01286B93" w:rsidTr="00295A23">
        <w:trPr>
          <w:trHeight w:val="288"/>
        </w:trPr>
        <w:tc>
          <w:tcPr>
            <w:tcW w:w="1033" w:type="dxa"/>
          </w:tcPr>
          <w:p w14:paraId="4A7BDE92" w14:textId="225F8AD1" w:rsidR="008E403D" w:rsidRPr="00D47DDD" w:rsidRDefault="008E403D" w:rsidP="008E403D">
            <w:pPr>
              <w:spacing w:after="0"/>
              <w:jc w:val="center"/>
              <w:rPr>
                <w:b/>
                <w:i/>
                <w:sz w:val="22"/>
              </w:rPr>
            </w:pPr>
            <w:r w:rsidRPr="00D47DDD">
              <w:rPr>
                <w:i/>
                <w:sz w:val="22"/>
              </w:rPr>
              <w:t>13</w:t>
            </w:r>
          </w:p>
        </w:tc>
        <w:tc>
          <w:tcPr>
            <w:tcW w:w="6522" w:type="dxa"/>
          </w:tcPr>
          <w:p w14:paraId="0D165C03" w14:textId="5FC27F45" w:rsidR="008E403D" w:rsidRPr="00D47DDD" w:rsidRDefault="008E403D" w:rsidP="008E403D">
            <w:pPr>
              <w:spacing w:after="0"/>
              <w:rPr>
                <w:rFonts w:eastAsia="Times New Roman"/>
                <w:sz w:val="22"/>
              </w:rPr>
            </w:pPr>
            <w:r w:rsidRPr="00D47DDD">
              <w:rPr>
                <w:rFonts w:eastAsia="Times New Roman"/>
                <w:sz w:val="22"/>
              </w:rPr>
              <w:t>Hillsborough</w:t>
            </w:r>
          </w:p>
        </w:tc>
        <w:tc>
          <w:tcPr>
            <w:tcW w:w="1710" w:type="dxa"/>
            <w:vAlign w:val="center"/>
          </w:tcPr>
          <w:p w14:paraId="3893089C" w14:textId="77777777" w:rsidR="008E403D" w:rsidRPr="00D47DDD" w:rsidRDefault="008E403D" w:rsidP="008E403D">
            <w:pPr>
              <w:spacing w:after="0"/>
              <w:jc w:val="right"/>
              <w:rPr>
                <w:rFonts w:eastAsia="Times New Roman"/>
                <w:sz w:val="22"/>
              </w:rPr>
            </w:pPr>
            <w:r>
              <w:rPr>
                <w:color w:val="000000"/>
                <w:sz w:val="22"/>
                <w:szCs w:val="22"/>
              </w:rPr>
              <w:t>1,351,087</w:t>
            </w:r>
          </w:p>
        </w:tc>
        <w:tc>
          <w:tcPr>
            <w:tcW w:w="805" w:type="dxa"/>
            <w:vAlign w:val="center"/>
          </w:tcPr>
          <w:p w14:paraId="06B39696" w14:textId="09B67AD6" w:rsidR="008E403D" w:rsidRPr="00D47DDD" w:rsidRDefault="008E403D" w:rsidP="008E403D">
            <w:pPr>
              <w:spacing w:after="0"/>
              <w:rPr>
                <w:rFonts w:eastAsia="Times New Roman"/>
                <w:sz w:val="22"/>
              </w:rPr>
            </w:pPr>
          </w:p>
        </w:tc>
      </w:tr>
      <w:tr w:rsidR="008E403D" w:rsidRPr="00051340" w14:paraId="52FBCBB3" w14:textId="18F57839" w:rsidTr="00295A23">
        <w:trPr>
          <w:trHeight w:val="288"/>
        </w:trPr>
        <w:tc>
          <w:tcPr>
            <w:tcW w:w="1033" w:type="dxa"/>
          </w:tcPr>
          <w:p w14:paraId="3EE41650" w14:textId="77777777" w:rsidR="008E403D" w:rsidRPr="00D47DDD" w:rsidRDefault="008E403D" w:rsidP="008E403D">
            <w:pPr>
              <w:spacing w:after="0"/>
              <w:jc w:val="center"/>
              <w:rPr>
                <w:b/>
                <w:i/>
                <w:sz w:val="22"/>
              </w:rPr>
            </w:pPr>
            <w:r w:rsidRPr="00D47DDD">
              <w:rPr>
                <w:i/>
                <w:sz w:val="22"/>
              </w:rPr>
              <w:t>14</w:t>
            </w:r>
          </w:p>
        </w:tc>
        <w:tc>
          <w:tcPr>
            <w:tcW w:w="6522" w:type="dxa"/>
          </w:tcPr>
          <w:p w14:paraId="4F38D979" w14:textId="77777777" w:rsidR="008E403D" w:rsidRPr="00D47DDD" w:rsidRDefault="008E403D" w:rsidP="008E403D">
            <w:pPr>
              <w:spacing w:after="0"/>
              <w:rPr>
                <w:sz w:val="22"/>
              </w:rPr>
            </w:pPr>
            <w:r w:rsidRPr="00D47DDD">
              <w:rPr>
                <w:rFonts w:eastAsia="Times New Roman"/>
                <w:sz w:val="22"/>
              </w:rPr>
              <w:t>Bay, Calhoun, Gulf, Holmes, Jackson, and Washington</w:t>
            </w:r>
          </w:p>
        </w:tc>
        <w:tc>
          <w:tcPr>
            <w:tcW w:w="1710" w:type="dxa"/>
            <w:vAlign w:val="center"/>
          </w:tcPr>
          <w:p w14:paraId="11655A99" w14:textId="77777777" w:rsidR="008E403D" w:rsidRPr="00D47DDD" w:rsidRDefault="008E403D" w:rsidP="008E403D">
            <w:pPr>
              <w:spacing w:after="0"/>
              <w:jc w:val="right"/>
              <w:rPr>
                <w:rFonts w:eastAsia="Times New Roman"/>
                <w:sz w:val="22"/>
              </w:rPr>
            </w:pPr>
            <w:r>
              <w:rPr>
                <w:color w:val="000000"/>
                <w:sz w:val="22"/>
                <w:szCs w:val="22"/>
              </w:rPr>
              <w:t>303,119</w:t>
            </w:r>
          </w:p>
        </w:tc>
        <w:tc>
          <w:tcPr>
            <w:tcW w:w="805" w:type="dxa"/>
            <w:vAlign w:val="center"/>
          </w:tcPr>
          <w:p w14:paraId="1C11F069" w14:textId="2734030A" w:rsidR="008E403D" w:rsidRPr="00D47DDD" w:rsidRDefault="008E403D" w:rsidP="008E403D">
            <w:pPr>
              <w:spacing w:after="0"/>
              <w:rPr>
                <w:rFonts w:eastAsia="Times New Roman"/>
                <w:sz w:val="22"/>
              </w:rPr>
            </w:pPr>
          </w:p>
        </w:tc>
      </w:tr>
      <w:tr w:rsidR="008E403D" w:rsidRPr="00051340" w14:paraId="781661CB" w14:textId="10EDC991" w:rsidTr="00295A23">
        <w:trPr>
          <w:trHeight w:val="288"/>
        </w:trPr>
        <w:tc>
          <w:tcPr>
            <w:tcW w:w="1033" w:type="dxa"/>
          </w:tcPr>
          <w:p w14:paraId="20C27C94" w14:textId="77777777" w:rsidR="008E403D" w:rsidRPr="00D47DDD" w:rsidRDefault="008E403D" w:rsidP="008E403D">
            <w:pPr>
              <w:spacing w:after="0"/>
              <w:jc w:val="center"/>
              <w:rPr>
                <w:b/>
                <w:i/>
                <w:sz w:val="22"/>
              </w:rPr>
            </w:pPr>
            <w:r w:rsidRPr="00D47DDD">
              <w:rPr>
                <w:i/>
                <w:sz w:val="22"/>
              </w:rPr>
              <w:t>15</w:t>
            </w:r>
          </w:p>
        </w:tc>
        <w:tc>
          <w:tcPr>
            <w:tcW w:w="6522" w:type="dxa"/>
          </w:tcPr>
          <w:p w14:paraId="6031F87B" w14:textId="77777777" w:rsidR="008E403D" w:rsidRPr="00D47DDD" w:rsidRDefault="008E403D" w:rsidP="008E403D">
            <w:pPr>
              <w:spacing w:after="0"/>
              <w:rPr>
                <w:sz w:val="22"/>
              </w:rPr>
            </w:pPr>
            <w:r w:rsidRPr="00D47DDD">
              <w:rPr>
                <w:rFonts w:eastAsia="Times New Roman"/>
                <w:sz w:val="22"/>
              </w:rPr>
              <w:t>Palm Beach</w:t>
            </w:r>
          </w:p>
        </w:tc>
        <w:tc>
          <w:tcPr>
            <w:tcW w:w="1710" w:type="dxa"/>
            <w:vAlign w:val="center"/>
          </w:tcPr>
          <w:p w14:paraId="4DD218B6" w14:textId="77777777" w:rsidR="008E403D" w:rsidRPr="00D47DDD" w:rsidRDefault="008E403D" w:rsidP="008E403D">
            <w:pPr>
              <w:spacing w:after="0"/>
              <w:jc w:val="right"/>
              <w:rPr>
                <w:rFonts w:eastAsia="Times New Roman"/>
                <w:sz w:val="22"/>
              </w:rPr>
            </w:pPr>
            <w:r>
              <w:rPr>
                <w:color w:val="000000"/>
                <w:sz w:val="22"/>
                <w:szCs w:val="22"/>
              </w:rPr>
              <w:t>1,426,772</w:t>
            </w:r>
          </w:p>
        </w:tc>
        <w:tc>
          <w:tcPr>
            <w:tcW w:w="805" w:type="dxa"/>
            <w:vAlign w:val="center"/>
          </w:tcPr>
          <w:p w14:paraId="0D5A6717" w14:textId="332FDA2F" w:rsidR="008E403D" w:rsidRPr="00D47DDD" w:rsidRDefault="008E403D" w:rsidP="008E403D">
            <w:pPr>
              <w:spacing w:after="0"/>
              <w:rPr>
                <w:rFonts w:eastAsia="Times New Roman"/>
                <w:sz w:val="22"/>
              </w:rPr>
            </w:pPr>
          </w:p>
        </w:tc>
      </w:tr>
      <w:tr w:rsidR="008E403D" w:rsidRPr="00051340" w14:paraId="2D4885FD" w14:textId="6D0E82B7" w:rsidTr="00295A23">
        <w:trPr>
          <w:trHeight w:val="288"/>
        </w:trPr>
        <w:tc>
          <w:tcPr>
            <w:tcW w:w="1033" w:type="dxa"/>
          </w:tcPr>
          <w:p w14:paraId="0CCC719F" w14:textId="592C55BB" w:rsidR="008E403D" w:rsidRPr="00D47DDD" w:rsidRDefault="008E403D" w:rsidP="008E403D">
            <w:pPr>
              <w:spacing w:after="0"/>
              <w:jc w:val="center"/>
              <w:rPr>
                <w:b/>
                <w:i/>
                <w:sz w:val="22"/>
              </w:rPr>
            </w:pPr>
            <w:r w:rsidRPr="00D47DDD">
              <w:rPr>
                <w:i/>
                <w:sz w:val="22"/>
              </w:rPr>
              <w:t>16</w:t>
            </w:r>
          </w:p>
        </w:tc>
        <w:tc>
          <w:tcPr>
            <w:tcW w:w="6522" w:type="dxa"/>
          </w:tcPr>
          <w:p w14:paraId="1A2F8D32" w14:textId="2E07D9C7" w:rsidR="008E403D" w:rsidRPr="00D47DDD" w:rsidRDefault="008E403D" w:rsidP="008E403D">
            <w:pPr>
              <w:spacing w:after="0"/>
              <w:rPr>
                <w:rFonts w:eastAsia="Times New Roman"/>
                <w:sz w:val="22"/>
              </w:rPr>
            </w:pPr>
            <w:r w:rsidRPr="00D47DDD">
              <w:rPr>
                <w:rFonts w:eastAsia="Times New Roman"/>
                <w:sz w:val="22"/>
              </w:rPr>
              <w:t>Monroe</w:t>
            </w:r>
          </w:p>
        </w:tc>
        <w:tc>
          <w:tcPr>
            <w:tcW w:w="1710" w:type="dxa"/>
            <w:vAlign w:val="center"/>
          </w:tcPr>
          <w:p w14:paraId="158B4CCE" w14:textId="77777777" w:rsidR="008E403D" w:rsidRPr="00D47DDD" w:rsidRDefault="008E403D" w:rsidP="008E403D">
            <w:pPr>
              <w:spacing w:after="0"/>
              <w:jc w:val="right"/>
              <w:rPr>
                <w:rFonts w:eastAsia="Times New Roman"/>
                <w:sz w:val="22"/>
              </w:rPr>
            </w:pPr>
            <w:r>
              <w:rPr>
                <w:color w:val="000000"/>
                <w:sz w:val="22"/>
                <w:szCs w:val="22"/>
              </w:rPr>
              <w:t>76,745</w:t>
            </w:r>
          </w:p>
        </w:tc>
        <w:tc>
          <w:tcPr>
            <w:tcW w:w="805" w:type="dxa"/>
            <w:vAlign w:val="center"/>
          </w:tcPr>
          <w:p w14:paraId="60B99034" w14:textId="4685C960" w:rsidR="008E403D" w:rsidRPr="00D47DDD" w:rsidRDefault="008E403D" w:rsidP="008E403D">
            <w:pPr>
              <w:spacing w:after="0"/>
              <w:rPr>
                <w:rFonts w:eastAsia="Times New Roman"/>
                <w:sz w:val="22"/>
              </w:rPr>
            </w:pPr>
          </w:p>
        </w:tc>
      </w:tr>
      <w:tr w:rsidR="008E403D" w:rsidRPr="00051340" w14:paraId="388C0189" w14:textId="6B1BA214" w:rsidTr="00295A23">
        <w:trPr>
          <w:trHeight w:val="288"/>
        </w:trPr>
        <w:tc>
          <w:tcPr>
            <w:tcW w:w="1033" w:type="dxa"/>
          </w:tcPr>
          <w:p w14:paraId="0DB2A428" w14:textId="77777777" w:rsidR="008E403D" w:rsidRPr="00D47DDD" w:rsidRDefault="008E403D" w:rsidP="008E403D">
            <w:pPr>
              <w:spacing w:after="0"/>
              <w:jc w:val="center"/>
              <w:rPr>
                <w:b/>
                <w:i/>
                <w:sz w:val="22"/>
              </w:rPr>
            </w:pPr>
            <w:r w:rsidRPr="00D47DDD">
              <w:rPr>
                <w:i/>
                <w:sz w:val="22"/>
              </w:rPr>
              <w:t>18</w:t>
            </w:r>
          </w:p>
        </w:tc>
        <w:tc>
          <w:tcPr>
            <w:tcW w:w="6522" w:type="dxa"/>
          </w:tcPr>
          <w:p w14:paraId="19504C4E" w14:textId="77777777" w:rsidR="008E403D" w:rsidRPr="00D47DDD" w:rsidRDefault="008E403D" w:rsidP="008E403D">
            <w:pPr>
              <w:spacing w:after="0"/>
              <w:rPr>
                <w:sz w:val="22"/>
              </w:rPr>
            </w:pPr>
            <w:r w:rsidRPr="00D47DDD">
              <w:rPr>
                <w:rFonts w:eastAsia="Times New Roman"/>
                <w:sz w:val="22"/>
              </w:rPr>
              <w:t>Brevard</w:t>
            </w:r>
          </w:p>
        </w:tc>
        <w:tc>
          <w:tcPr>
            <w:tcW w:w="1710" w:type="dxa"/>
            <w:vAlign w:val="center"/>
          </w:tcPr>
          <w:p w14:paraId="334648B5" w14:textId="77777777" w:rsidR="008E403D" w:rsidRPr="00D47DDD" w:rsidRDefault="008E403D" w:rsidP="008E403D">
            <w:pPr>
              <w:spacing w:after="0"/>
              <w:jc w:val="right"/>
              <w:rPr>
                <w:rFonts w:eastAsia="Times New Roman"/>
                <w:sz w:val="22"/>
              </w:rPr>
            </w:pPr>
            <w:r>
              <w:rPr>
                <w:color w:val="000000"/>
                <w:sz w:val="22"/>
                <w:szCs w:val="22"/>
              </w:rPr>
              <w:t>568,183</w:t>
            </w:r>
          </w:p>
        </w:tc>
        <w:tc>
          <w:tcPr>
            <w:tcW w:w="805" w:type="dxa"/>
            <w:vAlign w:val="center"/>
          </w:tcPr>
          <w:p w14:paraId="1E25BA13" w14:textId="3778E06B" w:rsidR="008E403D" w:rsidRPr="00D47DDD" w:rsidRDefault="008E403D" w:rsidP="008E403D">
            <w:pPr>
              <w:spacing w:after="0"/>
              <w:rPr>
                <w:rFonts w:eastAsia="Times New Roman"/>
                <w:sz w:val="22"/>
              </w:rPr>
            </w:pPr>
          </w:p>
        </w:tc>
      </w:tr>
      <w:tr w:rsidR="008E403D" w14:paraId="5542CF5A" w14:textId="76D0F5FB" w:rsidTr="00295A23">
        <w:trPr>
          <w:trHeight w:val="288"/>
        </w:trPr>
        <w:tc>
          <w:tcPr>
            <w:tcW w:w="1033" w:type="dxa"/>
          </w:tcPr>
          <w:p w14:paraId="7ACAE512" w14:textId="11AFBF17" w:rsidR="008E403D" w:rsidRPr="00D47DDD" w:rsidRDefault="008E403D" w:rsidP="008E403D">
            <w:pPr>
              <w:spacing w:after="0"/>
              <w:jc w:val="center"/>
              <w:rPr>
                <w:b/>
                <w:i/>
                <w:sz w:val="22"/>
              </w:rPr>
            </w:pPr>
            <w:r w:rsidRPr="00D47DDD">
              <w:rPr>
                <w:i/>
                <w:sz w:val="22"/>
              </w:rPr>
              <w:t>20</w:t>
            </w:r>
          </w:p>
        </w:tc>
        <w:tc>
          <w:tcPr>
            <w:tcW w:w="6522" w:type="dxa"/>
          </w:tcPr>
          <w:p w14:paraId="54C2EE75" w14:textId="55576EF4" w:rsidR="008E403D" w:rsidRPr="00D47DDD" w:rsidRDefault="008E403D" w:rsidP="008E403D">
            <w:pPr>
              <w:spacing w:after="0"/>
              <w:rPr>
                <w:rFonts w:eastAsia="Times New Roman"/>
                <w:sz w:val="22"/>
              </w:rPr>
            </w:pPr>
            <w:r w:rsidRPr="00D47DDD">
              <w:rPr>
                <w:rFonts w:eastAsia="Times New Roman"/>
                <w:sz w:val="22"/>
              </w:rPr>
              <w:t>Collier</w:t>
            </w:r>
          </w:p>
        </w:tc>
        <w:tc>
          <w:tcPr>
            <w:tcW w:w="1710" w:type="dxa"/>
            <w:vAlign w:val="center"/>
          </w:tcPr>
          <w:p w14:paraId="7AF47B70" w14:textId="77777777" w:rsidR="008E403D" w:rsidRPr="00D47DDD" w:rsidRDefault="008E403D" w:rsidP="008E403D">
            <w:pPr>
              <w:spacing w:after="0"/>
              <w:jc w:val="right"/>
              <w:rPr>
                <w:rFonts w:eastAsia="Times New Roman"/>
                <w:sz w:val="22"/>
              </w:rPr>
            </w:pPr>
            <w:r>
              <w:rPr>
                <w:color w:val="000000"/>
                <w:sz w:val="22"/>
                <w:szCs w:val="22"/>
              </w:rPr>
              <w:t>356,774</w:t>
            </w:r>
          </w:p>
        </w:tc>
        <w:tc>
          <w:tcPr>
            <w:tcW w:w="805" w:type="dxa"/>
            <w:vAlign w:val="center"/>
          </w:tcPr>
          <w:p w14:paraId="4979A20F" w14:textId="25E5C648" w:rsidR="008E403D" w:rsidRPr="00D47DDD" w:rsidRDefault="008E403D" w:rsidP="008E403D">
            <w:pPr>
              <w:spacing w:after="0"/>
              <w:rPr>
                <w:rFonts w:eastAsia="Times New Roman"/>
                <w:sz w:val="22"/>
              </w:rPr>
            </w:pPr>
          </w:p>
        </w:tc>
      </w:tr>
      <w:tr w:rsidR="008E403D" w14:paraId="350EEF54" w14:textId="1A7F0579" w:rsidTr="00295A23">
        <w:trPr>
          <w:trHeight w:val="288"/>
        </w:trPr>
        <w:tc>
          <w:tcPr>
            <w:tcW w:w="1033" w:type="dxa"/>
          </w:tcPr>
          <w:p w14:paraId="6E23BD42" w14:textId="77777777" w:rsidR="008E403D" w:rsidRPr="00D47DDD" w:rsidRDefault="008E403D" w:rsidP="008E403D">
            <w:pPr>
              <w:spacing w:after="0"/>
              <w:jc w:val="center"/>
              <w:rPr>
                <w:b/>
                <w:i/>
                <w:sz w:val="22"/>
              </w:rPr>
            </w:pPr>
            <w:r w:rsidRPr="00D47DDD">
              <w:rPr>
                <w:i/>
                <w:sz w:val="22"/>
              </w:rPr>
              <w:t>21</w:t>
            </w:r>
          </w:p>
        </w:tc>
        <w:tc>
          <w:tcPr>
            <w:tcW w:w="6522" w:type="dxa"/>
          </w:tcPr>
          <w:p w14:paraId="6C207AAB" w14:textId="77777777" w:rsidR="008E403D" w:rsidRPr="00D47DDD" w:rsidRDefault="008E403D" w:rsidP="008E403D">
            <w:pPr>
              <w:spacing w:after="0"/>
              <w:rPr>
                <w:sz w:val="22"/>
              </w:rPr>
            </w:pPr>
            <w:r w:rsidRPr="00D47DDD">
              <w:rPr>
                <w:rFonts w:eastAsia="Times New Roman"/>
                <w:sz w:val="22"/>
              </w:rPr>
              <w:t>Glades, Hendry, and Lee</w:t>
            </w:r>
          </w:p>
        </w:tc>
        <w:tc>
          <w:tcPr>
            <w:tcW w:w="1710" w:type="dxa"/>
            <w:vAlign w:val="center"/>
          </w:tcPr>
          <w:p w14:paraId="4905C166" w14:textId="77777777" w:rsidR="008E403D" w:rsidRPr="00D47DDD" w:rsidRDefault="008E403D" w:rsidP="008E403D">
            <w:pPr>
              <w:spacing w:after="0"/>
              <w:jc w:val="right"/>
              <w:rPr>
                <w:rFonts w:eastAsia="Times New Roman"/>
                <w:sz w:val="22"/>
              </w:rPr>
            </w:pPr>
            <w:r>
              <w:rPr>
                <w:color w:val="000000"/>
                <w:sz w:val="22"/>
                <w:szCs w:val="22"/>
              </w:rPr>
              <w:t>752,426</w:t>
            </w:r>
          </w:p>
        </w:tc>
        <w:tc>
          <w:tcPr>
            <w:tcW w:w="805" w:type="dxa"/>
            <w:vAlign w:val="center"/>
          </w:tcPr>
          <w:p w14:paraId="1601AB9B" w14:textId="6932481F" w:rsidR="008E403D" w:rsidRPr="00D47DDD" w:rsidRDefault="008E403D" w:rsidP="008E403D">
            <w:pPr>
              <w:spacing w:after="0"/>
              <w:rPr>
                <w:rFonts w:eastAsia="Times New Roman"/>
                <w:sz w:val="22"/>
              </w:rPr>
            </w:pPr>
          </w:p>
        </w:tc>
      </w:tr>
      <w:tr w:rsidR="008E403D" w14:paraId="0318D8E9" w14:textId="534AD1C2" w:rsidTr="00295A23">
        <w:trPr>
          <w:trHeight w:val="288"/>
        </w:trPr>
        <w:tc>
          <w:tcPr>
            <w:tcW w:w="1033" w:type="dxa"/>
          </w:tcPr>
          <w:p w14:paraId="4D84255F" w14:textId="43EE55D3" w:rsidR="008E403D" w:rsidRPr="00D47DDD" w:rsidRDefault="008E403D" w:rsidP="008E403D">
            <w:pPr>
              <w:spacing w:after="0"/>
              <w:jc w:val="center"/>
              <w:rPr>
                <w:b/>
                <w:i/>
                <w:sz w:val="22"/>
              </w:rPr>
            </w:pPr>
            <w:r w:rsidRPr="00D47DDD">
              <w:rPr>
                <w:i/>
                <w:sz w:val="22"/>
              </w:rPr>
              <w:t>22</w:t>
            </w:r>
          </w:p>
        </w:tc>
        <w:tc>
          <w:tcPr>
            <w:tcW w:w="6522" w:type="dxa"/>
          </w:tcPr>
          <w:p w14:paraId="619A9A28" w14:textId="40430B10" w:rsidR="008E403D" w:rsidRPr="00D47DDD" w:rsidRDefault="008E403D" w:rsidP="008E403D">
            <w:pPr>
              <w:spacing w:after="0"/>
              <w:rPr>
                <w:rFonts w:eastAsia="Times New Roman"/>
                <w:sz w:val="22"/>
              </w:rPr>
            </w:pPr>
            <w:r w:rsidRPr="00D47DDD">
              <w:rPr>
                <w:rFonts w:eastAsia="Times New Roman"/>
                <w:sz w:val="22"/>
              </w:rPr>
              <w:t>Charlotte</w:t>
            </w:r>
          </w:p>
        </w:tc>
        <w:tc>
          <w:tcPr>
            <w:tcW w:w="1710" w:type="dxa"/>
            <w:vAlign w:val="center"/>
          </w:tcPr>
          <w:p w14:paraId="05FDFC43" w14:textId="77777777" w:rsidR="008E403D" w:rsidRPr="00D47DDD" w:rsidRDefault="008E403D" w:rsidP="008E403D">
            <w:pPr>
              <w:spacing w:after="0"/>
              <w:jc w:val="right"/>
              <w:rPr>
                <w:rFonts w:eastAsia="Times New Roman"/>
                <w:sz w:val="22"/>
              </w:rPr>
            </w:pPr>
            <w:r>
              <w:rPr>
                <w:color w:val="000000"/>
                <w:sz w:val="22"/>
                <w:szCs w:val="22"/>
              </w:rPr>
              <w:t>173,236</w:t>
            </w:r>
          </w:p>
        </w:tc>
        <w:tc>
          <w:tcPr>
            <w:tcW w:w="805" w:type="dxa"/>
            <w:vAlign w:val="center"/>
          </w:tcPr>
          <w:p w14:paraId="785DE4C7" w14:textId="37DF20E6" w:rsidR="008E403D" w:rsidRPr="00D47DDD" w:rsidRDefault="008E403D" w:rsidP="008E403D">
            <w:pPr>
              <w:spacing w:after="0"/>
              <w:rPr>
                <w:rFonts w:eastAsia="Times New Roman"/>
                <w:sz w:val="22"/>
              </w:rPr>
            </w:pPr>
          </w:p>
        </w:tc>
      </w:tr>
      <w:tr w:rsidR="008E403D" w14:paraId="162D9258" w14:textId="642B9113" w:rsidTr="00295A23">
        <w:trPr>
          <w:trHeight w:val="288"/>
        </w:trPr>
        <w:tc>
          <w:tcPr>
            <w:tcW w:w="1033" w:type="dxa"/>
          </w:tcPr>
          <w:p w14:paraId="59C163B8" w14:textId="46814ED4" w:rsidR="008E403D" w:rsidRPr="00D47DDD" w:rsidRDefault="008E403D" w:rsidP="008E403D">
            <w:pPr>
              <w:spacing w:after="0"/>
              <w:jc w:val="center"/>
              <w:rPr>
                <w:b/>
                <w:i/>
                <w:sz w:val="22"/>
              </w:rPr>
            </w:pPr>
            <w:r w:rsidRPr="00D47DDD">
              <w:rPr>
                <w:i/>
                <w:sz w:val="22"/>
              </w:rPr>
              <w:t>23</w:t>
            </w:r>
          </w:p>
        </w:tc>
        <w:tc>
          <w:tcPr>
            <w:tcW w:w="6522" w:type="dxa"/>
          </w:tcPr>
          <w:p w14:paraId="6B1B6CE6" w14:textId="7D0F7A64" w:rsidR="008E403D" w:rsidRPr="00D47DDD" w:rsidRDefault="008E403D" w:rsidP="008E403D">
            <w:pPr>
              <w:spacing w:after="0"/>
              <w:rPr>
                <w:rFonts w:eastAsia="Times New Roman"/>
                <w:sz w:val="22"/>
              </w:rPr>
            </w:pPr>
            <w:r w:rsidRPr="00D47DDD">
              <w:rPr>
                <w:rFonts w:eastAsia="Times New Roman"/>
                <w:sz w:val="22"/>
              </w:rPr>
              <w:t>Flagler, Putnam, St. Johns</w:t>
            </w:r>
          </w:p>
        </w:tc>
        <w:tc>
          <w:tcPr>
            <w:tcW w:w="1710" w:type="dxa"/>
            <w:vAlign w:val="center"/>
          </w:tcPr>
          <w:p w14:paraId="460F945B" w14:textId="77777777" w:rsidR="008E403D" w:rsidRPr="00D47DDD" w:rsidRDefault="008E403D" w:rsidP="008E403D">
            <w:pPr>
              <w:spacing w:after="0"/>
              <w:jc w:val="right"/>
              <w:rPr>
                <w:rFonts w:eastAsia="Times New Roman"/>
                <w:sz w:val="22"/>
              </w:rPr>
            </w:pPr>
            <w:r>
              <w:rPr>
                <w:color w:val="000000"/>
                <w:sz w:val="22"/>
                <w:szCs w:val="22"/>
              </w:rPr>
              <w:t>404,028</w:t>
            </w:r>
          </w:p>
        </w:tc>
        <w:tc>
          <w:tcPr>
            <w:tcW w:w="805" w:type="dxa"/>
            <w:vAlign w:val="center"/>
          </w:tcPr>
          <w:p w14:paraId="7669722C" w14:textId="75548217" w:rsidR="008E403D" w:rsidRPr="00D47DDD" w:rsidRDefault="008E403D" w:rsidP="008E403D">
            <w:pPr>
              <w:spacing w:after="0"/>
              <w:rPr>
                <w:rFonts w:eastAsia="Times New Roman"/>
                <w:sz w:val="22"/>
              </w:rPr>
            </w:pPr>
          </w:p>
        </w:tc>
      </w:tr>
      <w:tr w:rsidR="008E403D" w14:paraId="218A4602" w14:textId="75F79C30" w:rsidTr="00295A23">
        <w:trPr>
          <w:trHeight w:val="288"/>
        </w:trPr>
        <w:tc>
          <w:tcPr>
            <w:tcW w:w="1033" w:type="dxa"/>
          </w:tcPr>
          <w:p w14:paraId="471267E1" w14:textId="1F128879" w:rsidR="008E403D" w:rsidRPr="00D47DDD" w:rsidRDefault="008E403D" w:rsidP="00D47DDD">
            <w:pPr>
              <w:spacing w:after="0"/>
              <w:jc w:val="center"/>
              <w:rPr>
                <w:b/>
                <w:i/>
                <w:sz w:val="22"/>
              </w:rPr>
            </w:pPr>
            <w:r w:rsidRPr="00D47DDD">
              <w:rPr>
                <w:i/>
                <w:sz w:val="22"/>
              </w:rPr>
              <w:t>24</w:t>
            </w:r>
          </w:p>
        </w:tc>
        <w:tc>
          <w:tcPr>
            <w:tcW w:w="6522" w:type="dxa"/>
          </w:tcPr>
          <w:p w14:paraId="2827FFBA" w14:textId="270DD4A7" w:rsidR="008E403D" w:rsidRPr="00D47DDD" w:rsidRDefault="008E403D" w:rsidP="00D47DDD">
            <w:pPr>
              <w:spacing w:after="0"/>
              <w:rPr>
                <w:rFonts w:eastAsia="Times New Roman"/>
                <w:sz w:val="22"/>
              </w:rPr>
            </w:pPr>
            <w:r w:rsidRPr="00D47DDD">
              <w:rPr>
                <w:rFonts w:eastAsia="Times New Roman"/>
                <w:sz w:val="22"/>
              </w:rPr>
              <w:t>Seminole</w:t>
            </w:r>
          </w:p>
        </w:tc>
        <w:tc>
          <w:tcPr>
            <w:tcW w:w="1710" w:type="dxa"/>
          </w:tcPr>
          <w:p w14:paraId="49D69382" w14:textId="77777777" w:rsidR="008E403D" w:rsidRPr="00D47DDD" w:rsidRDefault="008E403D" w:rsidP="008E403D">
            <w:pPr>
              <w:spacing w:after="0"/>
              <w:jc w:val="right"/>
              <w:rPr>
                <w:rFonts w:eastAsia="Times New Roman"/>
                <w:sz w:val="22"/>
              </w:rPr>
            </w:pPr>
            <w:r w:rsidRPr="007147C6">
              <w:rPr>
                <w:rFonts w:eastAsia="Times New Roman"/>
                <w:sz w:val="22"/>
              </w:rPr>
              <w:t>449</w:t>
            </w:r>
            <w:r>
              <w:rPr>
                <w:rFonts w:eastAsia="Times New Roman"/>
                <w:sz w:val="22"/>
              </w:rPr>
              <w:t>,</w:t>
            </w:r>
            <w:r w:rsidRPr="007147C6">
              <w:rPr>
                <w:rFonts w:eastAsia="Times New Roman"/>
                <w:sz w:val="22"/>
              </w:rPr>
              <w:t>260</w:t>
            </w:r>
          </w:p>
        </w:tc>
        <w:tc>
          <w:tcPr>
            <w:tcW w:w="805" w:type="dxa"/>
          </w:tcPr>
          <w:p w14:paraId="372FDF97" w14:textId="5735E672" w:rsidR="008E403D" w:rsidRPr="00D47DDD" w:rsidRDefault="008E403D" w:rsidP="008E403D">
            <w:pPr>
              <w:spacing w:after="0"/>
              <w:rPr>
                <w:rFonts w:eastAsia="Times New Roman"/>
                <w:sz w:val="22"/>
              </w:rPr>
            </w:pPr>
          </w:p>
        </w:tc>
      </w:tr>
      <w:tr w:rsidR="008E403D" w14:paraId="2E3A49AE" w14:textId="71773EF7" w:rsidTr="00295A23">
        <w:trPr>
          <w:trHeight w:val="288"/>
        </w:trPr>
        <w:tc>
          <w:tcPr>
            <w:tcW w:w="1033" w:type="dxa"/>
            <w:tcBorders>
              <w:bottom w:val="single" w:sz="4" w:space="0" w:color="auto"/>
            </w:tcBorders>
          </w:tcPr>
          <w:p w14:paraId="0410BBEC" w14:textId="2D574F5D" w:rsidR="008E403D" w:rsidRPr="00D47DDD" w:rsidRDefault="008E403D" w:rsidP="00D47DDD">
            <w:pPr>
              <w:spacing w:after="0"/>
              <w:jc w:val="center"/>
              <w:rPr>
                <w:b/>
                <w:i/>
                <w:sz w:val="22"/>
              </w:rPr>
            </w:pPr>
            <w:r w:rsidRPr="00D47DDD">
              <w:rPr>
                <w:i/>
                <w:sz w:val="22"/>
              </w:rPr>
              <w:t>25</w:t>
            </w:r>
          </w:p>
        </w:tc>
        <w:tc>
          <w:tcPr>
            <w:tcW w:w="6522" w:type="dxa"/>
            <w:tcBorders>
              <w:bottom w:val="single" w:sz="4" w:space="0" w:color="auto"/>
            </w:tcBorders>
          </w:tcPr>
          <w:p w14:paraId="1105FFFD" w14:textId="509AF58E" w:rsidR="008E403D" w:rsidRPr="00D47DDD" w:rsidRDefault="008E403D" w:rsidP="00D47DDD">
            <w:pPr>
              <w:spacing w:after="0"/>
              <w:rPr>
                <w:rFonts w:eastAsia="Times New Roman"/>
                <w:sz w:val="22"/>
              </w:rPr>
            </w:pPr>
            <w:r w:rsidRPr="00D47DDD">
              <w:rPr>
                <w:rFonts w:eastAsia="Times New Roman"/>
                <w:sz w:val="22"/>
              </w:rPr>
              <w:t>Osceola</w:t>
            </w:r>
          </w:p>
        </w:tc>
        <w:tc>
          <w:tcPr>
            <w:tcW w:w="1710" w:type="dxa"/>
            <w:tcBorders>
              <w:bottom w:val="single" w:sz="4" w:space="0" w:color="auto"/>
            </w:tcBorders>
          </w:tcPr>
          <w:p w14:paraId="0BBA7BE5" w14:textId="77777777" w:rsidR="008E403D" w:rsidRPr="00D47DDD" w:rsidRDefault="008E403D" w:rsidP="008E403D">
            <w:pPr>
              <w:spacing w:after="0"/>
              <w:jc w:val="right"/>
              <w:rPr>
                <w:rFonts w:eastAsia="Times New Roman"/>
                <w:sz w:val="22"/>
              </w:rPr>
            </w:pPr>
            <w:r w:rsidRPr="007147C6">
              <w:rPr>
                <w:rFonts w:eastAsia="Times New Roman"/>
                <w:sz w:val="22"/>
              </w:rPr>
              <w:t>325</w:t>
            </w:r>
            <w:r>
              <w:rPr>
                <w:rFonts w:eastAsia="Times New Roman"/>
                <w:sz w:val="22"/>
              </w:rPr>
              <w:t>,</w:t>
            </w:r>
            <w:r w:rsidRPr="007147C6">
              <w:rPr>
                <w:rFonts w:eastAsia="Times New Roman"/>
                <w:sz w:val="22"/>
              </w:rPr>
              <w:t>168</w:t>
            </w:r>
          </w:p>
        </w:tc>
        <w:tc>
          <w:tcPr>
            <w:tcW w:w="805" w:type="dxa"/>
            <w:tcBorders>
              <w:bottom w:val="single" w:sz="4" w:space="0" w:color="auto"/>
            </w:tcBorders>
          </w:tcPr>
          <w:p w14:paraId="06B76D64" w14:textId="6C0EB81F" w:rsidR="008E403D" w:rsidRPr="00D47DDD" w:rsidRDefault="008E403D" w:rsidP="008E403D">
            <w:pPr>
              <w:spacing w:after="0"/>
              <w:rPr>
                <w:rFonts w:eastAsia="Times New Roman"/>
                <w:sz w:val="22"/>
              </w:rPr>
            </w:pPr>
          </w:p>
        </w:tc>
      </w:tr>
    </w:tbl>
    <w:p w14:paraId="4A31E514" w14:textId="772E1EEF" w:rsidR="00C42F18" w:rsidRPr="00C43DBC" w:rsidRDefault="00C42F18" w:rsidP="003323F7">
      <w:pPr>
        <w:spacing w:after="120"/>
        <w:rPr>
          <w:sz w:val="20"/>
        </w:rPr>
      </w:pPr>
    </w:p>
    <w:p w14:paraId="1BC54E03" w14:textId="5CEFA548" w:rsidR="00A86BD2" w:rsidRPr="00065C84" w:rsidRDefault="00A86BD2" w:rsidP="00AF12FA">
      <w:pPr>
        <w:spacing w:after="120"/>
        <w:rPr>
          <w:b/>
        </w:rPr>
      </w:pPr>
      <w:r w:rsidRPr="00065C84">
        <w:rPr>
          <w:b/>
        </w:rPr>
        <w:t xml:space="preserve">Figure 1: </w:t>
      </w:r>
      <w:r w:rsidR="002B30E4">
        <w:rPr>
          <w:b/>
        </w:rPr>
        <w:t>Counties Participating in FL-ESOOS Fatal Opioid Overdose Surveillance</w:t>
      </w:r>
    </w:p>
    <w:p w14:paraId="0D82A259" w14:textId="51ED26C5" w:rsidR="00375029" w:rsidRDefault="00A86BD2" w:rsidP="00A33DD2">
      <w:r>
        <w:rPr>
          <w:noProof/>
        </w:rPr>
        <w:drawing>
          <wp:inline distT="0" distB="0" distL="0" distR="0" wp14:anchorId="64BD881B" wp14:editId="66D59EBC">
            <wp:extent cx="4333164" cy="36760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Q1-Q2 Fatal Participating Counties v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44903" cy="3770872"/>
                    </a:xfrm>
                    <a:prstGeom prst="rect">
                      <a:avLst/>
                    </a:prstGeom>
                  </pic:spPr>
                </pic:pic>
              </a:graphicData>
            </a:graphic>
          </wp:inline>
        </w:drawing>
      </w:r>
      <w:r w:rsidR="00375029">
        <w:br w:type="page"/>
      </w:r>
    </w:p>
    <w:p w14:paraId="04940F33" w14:textId="75CBFFAA" w:rsidR="002B75CB" w:rsidRPr="00183A2C" w:rsidRDefault="002B75CB" w:rsidP="00183A2C">
      <w:pPr>
        <w:pStyle w:val="Heading2"/>
      </w:pPr>
      <w:bookmarkStart w:id="18" w:name="_Toc17788950"/>
      <w:r w:rsidRPr="00183A2C">
        <w:lastRenderedPageBreak/>
        <w:t>M</w:t>
      </w:r>
      <w:r w:rsidR="00E17A54" w:rsidRPr="00183A2C">
        <w:t>EASURES</w:t>
      </w:r>
      <w:bookmarkEnd w:id="18"/>
    </w:p>
    <w:p w14:paraId="2F3D597E" w14:textId="5254C37B" w:rsidR="005B4823" w:rsidRPr="00F315D4" w:rsidRDefault="005B4823" w:rsidP="00F315D4">
      <w:pPr>
        <w:tabs>
          <w:tab w:val="left" w:pos="720"/>
        </w:tabs>
        <w:spacing w:after="220"/>
        <w:rPr>
          <w:sz w:val="22"/>
          <w:szCs w:val="22"/>
        </w:rPr>
      </w:pPr>
      <w:r w:rsidRPr="00F315D4">
        <w:rPr>
          <w:sz w:val="22"/>
          <w:szCs w:val="22"/>
        </w:rPr>
        <w:t>Measures were created for a collection of related variables. Variables can be categorized as the decedent demographics, characteristics of the overdose, and fatal opioid overdose rates. The sections below</w:t>
      </w:r>
      <w:r w:rsidR="00CD5E41" w:rsidRPr="00F315D4">
        <w:rPr>
          <w:sz w:val="22"/>
          <w:szCs w:val="22"/>
        </w:rPr>
        <w:t xml:space="preserve"> </w:t>
      </w:r>
      <w:r w:rsidR="003F3A35" w:rsidRPr="00F315D4">
        <w:rPr>
          <w:sz w:val="22"/>
          <w:szCs w:val="22"/>
        </w:rPr>
        <w:t>explain</w:t>
      </w:r>
      <w:r w:rsidRPr="00F315D4">
        <w:rPr>
          <w:sz w:val="22"/>
          <w:szCs w:val="22"/>
        </w:rPr>
        <w:t xml:space="preserve"> how the measures were created.</w:t>
      </w:r>
    </w:p>
    <w:p w14:paraId="0363A063" w14:textId="03628B3A" w:rsidR="006F644C" w:rsidRPr="00183A2C" w:rsidRDefault="006F644C" w:rsidP="00183A2C">
      <w:pPr>
        <w:pStyle w:val="Heading3"/>
      </w:pPr>
      <w:bookmarkStart w:id="19" w:name="_Toc17788951"/>
      <w:r w:rsidRPr="00183A2C">
        <w:t>Demographics</w:t>
      </w:r>
      <w:bookmarkEnd w:id="19"/>
    </w:p>
    <w:p w14:paraId="7117EA78" w14:textId="18DC3002" w:rsidR="005B4823" w:rsidRPr="00F315D4" w:rsidRDefault="00FC0A8A" w:rsidP="00F315D4">
      <w:pPr>
        <w:tabs>
          <w:tab w:val="left" w:pos="720"/>
        </w:tabs>
        <w:spacing w:after="220"/>
        <w:rPr>
          <w:sz w:val="22"/>
          <w:szCs w:val="22"/>
        </w:rPr>
      </w:pPr>
      <w:r w:rsidRPr="00F315D4">
        <w:rPr>
          <w:sz w:val="22"/>
          <w:szCs w:val="22"/>
        </w:rPr>
        <w:t>Demographic information including sex, race and ethnicity, age, education, homelessness, and residence in Florida were collected for all decedents.</w:t>
      </w:r>
      <w:r w:rsidR="005B4823" w:rsidRPr="00F315D4">
        <w:rPr>
          <w:sz w:val="22"/>
          <w:szCs w:val="22"/>
        </w:rPr>
        <w:t xml:space="preserve"> </w:t>
      </w:r>
      <w:r w:rsidR="005B4823" w:rsidRPr="00F315D4">
        <w:rPr>
          <w:color w:val="000000"/>
          <w:sz w:val="22"/>
          <w:szCs w:val="22"/>
        </w:rPr>
        <w:t>Frequencies and percent</w:t>
      </w:r>
      <w:r w:rsidR="008B315F" w:rsidRPr="00F315D4">
        <w:rPr>
          <w:color w:val="000000"/>
          <w:sz w:val="22"/>
          <w:szCs w:val="22"/>
        </w:rPr>
        <w:t>age</w:t>
      </w:r>
      <w:r w:rsidR="005B4823" w:rsidRPr="00F315D4">
        <w:rPr>
          <w:color w:val="000000"/>
          <w:sz w:val="22"/>
          <w:szCs w:val="22"/>
        </w:rPr>
        <w:t>s of decedents for each category were calculated.</w:t>
      </w:r>
    </w:p>
    <w:p w14:paraId="3F17D3FF" w14:textId="0182CCEE" w:rsidR="002B75CB" w:rsidRPr="00F315D4" w:rsidRDefault="002B75CB" w:rsidP="00F315D4">
      <w:pPr>
        <w:tabs>
          <w:tab w:val="left" w:pos="720"/>
        </w:tabs>
        <w:spacing w:after="220"/>
        <w:rPr>
          <w:sz w:val="22"/>
          <w:szCs w:val="22"/>
        </w:rPr>
      </w:pPr>
      <w:r w:rsidRPr="00F315D4">
        <w:rPr>
          <w:sz w:val="22"/>
          <w:szCs w:val="22"/>
        </w:rPr>
        <w:t xml:space="preserve">Sex was recorded as male or female. </w:t>
      </w:r>
      <w:r w:rsidR="00AC311D" w:rsidRPr="00F315D4">
        <w:rPr>
          <w:sz w:val="22"/>
          <w:szCs w:val="22"/>
        </w:rPr>
        <w:t xml:space="preserve">Reporting on sexual orientation was considered, but missing data made it not possible. No one was recorded as transgender, but there could have been errors in the data when recording information after death. </w:t>
      </w:r>
      <w:r w:rsidRPr="00F315D4">
        <w:rPr>
          <w:sz w:val="22"/>
          <w:szCs w:val="22"/>
        </w:rPr>
        <w:t>Racial and ethnic categories were those recommended by the National Institutes of Health.</w:t>
      </w:r>
      <w:r w:rsidRPr="00F315D4">
        <w:rPr>
          <w:sz w:val="22"/>
          <w:szCs w:val="22"/>
        </w:rPr>
        <w:fldChar w:fldCharType="begin" w:fldLock="1"/>
      </w:r>
      <w:r w:rsidR="004D5A03" w:rsidRPr="00F315D4">
        <w:rPr>
          <w:sz w:val="22"/>
          <w:szCs w:val="22"/>
        </w:rPr>
        <w:instrText>ADDIN CSL_CITATION {"citationItems":[{"id":"ITEM-1","itemData":{"URL":"https://grants.nih.gov/grants/guide/notice-files/NOT-OD-15-089.html","accessed":{"date-parts":[["2019","8","13"]]},"author":[{"dropping-particle":"","family":"National Institutes of Health","given":"","non-dropping-particle":"","parse-names":false,"suffix":""}],"container-title":"NOT-OD-15-089","id":"ITEM-1","issued":{"date-parts":[["2015"]]},"title":"Racial and Ethnic Categories and Definitions for NIH Diversity Programs and for Other Reporting Purposes","type":"webpage"},"uris":["http://www.mendeley.com/documents/?uuid=3f01246d-5a36-4553-a473-a01d90671378"]}],"mendeley":{"formattedCitation":"&lt;sup&gt;17&lt;/sup&gt;","plainTextFormattedCitation":"17","previouslyFormattedCitation":"&lt;sup&gt;17&lt;/sup&gt;"},"properties":{"noteIndex":0},"schema":"https://github.com/citation-style-language/schema/raw/master/csl-citation.json"}</w:instrText>
      </w:r>
      <w:r w:rsidRPr="00F315D4">
        <w:rPr>
          <w:sz w:val="22"/>
          <w:szCs w:val="22"/>
        </w:rPr>
        <w:fldChar w:fldCharType="separate"/>
      </w:r>
      <w:r w:rsidR="00067E47" w:rsidRPr="00F315D4">
        <w:rPr>
          <w:noProof/>
          <w:sz w:val="22"/>
          <w:szCs w:val="22"/>
          <w:vertAlign w:val="superscript"/>
        </w:rPr>
        <w:t>17</w:t>
      </w:r>
      <w:r w:rsidRPr="00F315D4">
        <w:rPr>
          <w:sz w:val="22"/>
          <w:szCs w:val="22"/>
        </w:rPr>
        <w:fldChar w:fldCharType="end"/>
      </w:r>
      <w:r w:rsidRPr="00F315D4">
        <w:rPr>
          <w:sz w:val="22"/>
          <w:szCs w:val="22"/>
        </w:rPr>
        <w:t xml:space="preserve"> People were categorized as white for persons with origins among any of the original peoples of Europe, North Africa, or the Middle East; </w:t>
      </w:r>
      <w:r w:rsidR="00872800">
        <w:rPr>
          <w:sz w:val="22"/>
          <w:szCs w:val="22"/>
        </w:rPr>
        <w:t>b</w:t>
      </w:r>
      <w:r w:rsidRPr="00F315D4">
        <w:rPr>
          <w:sz w:val="22"/>
          <w:szCs w:val="22"/>
        </w:rPr>
        <w:t>lack for persons with origins among any of the black racial groups of Africa; Asian for persons with origins among any of the original peoples of the Far East, Southeast Asia, or the Indian subcontinent; American Indian for persons with origins among any of the original people of North America and who maintains cultural identification through tribal affiliation or community recognition (includes Alaska Natives); and Hispanic for persons reporting their ethnicity as Hispanic no matter their reported race.</w:t>
      </w:r>
      <w:r w:rsidR="007E7E36" w:rsidRPr="00F315D4">
        <w:rPr>
          <w:sz w:val="22"/>
          <w:szCs w:val="22"/>
        </w:rPr>
        <w:t xml:space="preserve"> Those with a reported race, but a missing Hispanic status were counted as non-Hispanic. </w:t>
      </w:r>
      <w:r w:rsidRPr="00F315D4">
        <w:rPr>
          <w:sz w:val="22"/>
          <w:szCs w:val="22"/>
        </w:rPr>
        <w:t xml:space="preserve">People reporting multiple races were categorized as biracial. Age was originally measured in years but was grouped for this report to match </w:t>
      </w:r>
      <w:r w:rsidR="00FC0A8A" w:rsidRPr="00F315D4">
        <w:rPr>
          <w:sz w:val="22"/>
          <w:szCs w:val="22"/>
        </w:rPr>
        <w:t>reporting</w:t>
      </w:r>
      <w:r w:rsidRPr="00F315D4">
        <w:rPr>
          <w:sz w:val="22"/>
          <w:szCs w:val="22"/>
        </w:rPr>
        <w:t xml:space="preserve"> by the </w:t>
      </w:r>
      <w:r w:rsidR="005B4823" w:rsidRPr="00F315D4">
        <w:rPr>
          <w:sz w:val="22"/>
          <w:szCs w:val="22"/>
        </w:rPr>
        <w:t>Centers for Disease Control and Prevention</w:t>
      </w:r>
      <w:r w:rsidRPr="00F315D4">
        <w:rPr>
          <w:sz w:val="22"/>
          <w:szCs w:val="22"/>
        </w:rPr>
        <w:t xml:space="preserve">. </w:t>
      </w:r>
      <w:r w:rsidR="00CB642F" w:rsidRPr="00F315D4">
        <w:rPr>
          <w:sz w:val="22"/>
          <w:szCs w:val="22"/>
        </w:rPr>
        <w:t xml:space="preserve">All analyses excluded anyone below the age of 10, </w:t>
      </w:r>
      <w:r w:rsidR="00B80118" w:rsidRPr="00F315D4">
        <w:rPr>
          <w:sz w:val="22"/>
          <w:szCs w:val="22"/>
        </w:rPr>
        <w:t xml:space="preserve">which during this time period was </w:t>
      </w:r>
      <w:r w:rsidR="00AB364D" w:rsidRPr="00F315D4">
        <w:rPr>
          <w:sz w:val="22"/>
          <w:szCs w:val="22"/>
        </w:rPr>
        <w:t>one child 11 months old</w:t>
      </w:r>
      <w:r w:rsidR="00CB642F" w:rsidRPr="00F315D4">
        <w:rPr>
          <w:sz w:val="22"/>
          <w:szCs w:val="22"/>
        </w:rPr>
        <w:t>, unless stated otherwise</w:t>
      </w:r>
      <w:r w:rsidR="00AB364D" w:rsidRPr="00F315D4">
        <w:rPr>
          <w:sz w:val="22"/>
          <w:szCs w:val="22"/>
        </w:rPr>
        <w:t>.</w:t>
      </w:r>
    </w:p>
    <w:p w14:paraId="102CA785" w14:textId="1C748E28" w:rsidR="002B75CB" w:rsidRPr="00F315D4" w:rsidRDefault="002B75CB" w:rsidP="00F315D4">
      <w:pPr>
        <w:tabs>
          <w:tab w:val="left" w:pos="720"/>
        </w:tabs>
        <w:spacing w:after="220"/>
        <w:rPr>
          <w:color w:val="000000"/>
          <w:sz w:val="22"/>
          <w:szCs w:val="22"/>
        </w:rPr>
      </w:pPr>
      <w:r w:rsidRPr="00F315D4">
        <w:rPr>
          <w:color w:val="000000"/>
          <w:sz w:val="22"/>
          <w:szCs w:val="22"/>
        </w:rPr>
        <w:t>Education was originally recorded using census categories, but some groups were collapsed to facilitate in reporting. Education was categorized as less than high school, high school graduate, some college, bachelor’s degree, and graduate or professional degree. Yes and no categories were applied to homelessness, military experience, and Florida residence. Recent release from an institution was coded as yes or no for whether an individual had been admitted to or released from one of the following institutions in the month before death: jail, prison, or a detention facility; hospital; psychiatric hospital, other psychiatric institution; long</w:t>
      </w:r>
      <w:r w:rsidR="00872800">
        <w:rPr>
          <w:color w:val="000000"/>
          <w:sz w:val="22"/>
          <w:szCs w:val="22"/>
        </w:rPr>
        <w:t>-</w:t>
      </w:r>
      <w:r w:rsidRPr="00F315D4">
        <w:rPr>
          <w:color w:val="000000"/>
          <w:sz w:val="22"/>
          <w:szCs w:val="22"/>
        </w:rPr>
        <w:t xml:space="preserve">term residential health facility (e.g., nursing home); supervised residential facility related to alcohol or substance abuse treatment (e.g., residential treatment facility, sober house or group home); and supervised residential facilities not related to alcohol or substance abuse treatment (e.g., halfway houses or work-release homes). </w:t>
      </w:r>
    </w:p>
    <w:p w14:paraId="7ED296A7" w14:textId="50048408" w:rsidR="006F644C" w:rsidRPr="00F315D4" w:rsidRDefault="006F644C" w:rsidP="00183A2C">
      <w:pPr>
        <w:pStyle w:val="Heading3"/>
      </w:pPr>
      <w:bookmarkStart w:id="20" w:name="_Toc17788952"/>
      <w:r w:rsidRPr="00F315D4">
        <w:t>Overdose Characteristics</w:t>
      </w:r>
      <w:bookmarkEnd w:id="20"/>
    </w:p>
    <w:p w14:paraId="6ACCD68C" w14:textId="642175D3" w:rsidR="005B4823" w:rsidRPr="00F315D4" w:rsidRDefault="005B4823" w:rsidP="00F315D4">
      <w:pPr>
        <w:tabs>
          <w:tab w:val="left" w:pos="720"/>
        </w:tabs>
        <w:spacing w:after="220"/>
        <w:rPr>
          <w:color w:val="000000"/>
          <w:sz w:val="22"/>
          <w:szCs w:val="22"/>
        </w:rPr>
      </w:pPr>
      <w:r w:rsidRPr="00F315D4">
        <w:rPr>
          <w:color w:val="000000"/>
          <w:sz w:val="22"/>
          <w:szCs w:val="22"/>
        </w:rPr>
        <w:t>A measure was created of whether a decedent fatally abused an opiate from a collection of sources. Decedents were coded for whether they had fatally abused an opiate prescribed to themselves, an unprescribed opiate</w:t>
      </w:r>
      <w:r w:rsidR="001E49D1" w:rsidRPr="00F315D4">
        <w:rPr>
          <w:color w:val="000000"/>
          <w:sz w:val="22"/>
          <w:szCs w:val="22"/>
        </w:rPr>
        <w:t xml:space="preserve"> other than heroin</w:t>
      </w:r>
      <w:r w:rsidRPr="00F315D4">
        <w:rPr>
          <w:color w:val="000000"/>
          <w:sz w:val="22"/>
          <w:szCs w:val="22"/>
        </w:rPr>
        <w:t xml:space="preserve"> (e.g., illicitly obtained or created), heroin, an opiate prescribed to an intimate partner, an opiate prescribed to a family member, a prescribed opiate from another source, or an opiate from an unknown source. Frequencies and percent</w:t>
      </w:r>
      <w:r w:rsidR="00AF12FA" w:rsidRPr="00F315D4">
        <w:rPr>
          <w:color w:val="000000"/>
          <w:sz w:val="22"/>
          <w:szCs w:val="22"/>
        </w:rPr>
        <w:t>age</w:t>
      </w:r>
      <w:r w:rsidRPr="00F315D4">
        <w:rPr>
          <w:color w:val="000000"/>
          <w:sz w:val="22"/>
          <w:szCs w:val="22"/>
        </w:rPr>
        <w:t xml:space="preserve">s of decedents for each category were calculated. </w:t>
      </w:r>
      <w:r w:rsidR="004D5A12" w:rsidRPr="00F315D4">
        <w:rPr>
          <w:color w:val="000000"/>
          <w:sz w:val="22"/>
          <w:szCs w:val="22"/>
        </w:rPr>
        <w:tab/>
      </w:r>
    </w:p>
    <w:p w14:paraId="7239530F" w14:textId="72B20A46" w:rsidR="004D5A12" w:rsidRPr="00F315D4" w:rsidRDefault="00525643" w:rsidP="00F315D4">
      <w:pPr>
        <w:tabs>
          <w:tab w:val="left" w:pos="720"/>
        </w:tabs>
        <w:spacing w:after="220"/>
        <w:rPr>
          <w:color w:val="000000"/>
          <w:sz w:val="22"/>
          <w:szCs w:val="22"/>
        </w:rPr>
      </w:pPr>
      <w:r w:rsidRPr="00F315D4">
        <w:rPr>
          <w:color w:val="000000"/>
          <w:sz w:val="22"/>
          <w:szCs w:val="22"/>
        </w:rPr>
        <w:t xml:space="preserve">Polysubstance drug abuse was tested for each decedent by checking what </w:t>
      </w:r>
      <w:r w:rsidR="000A7F0D" w:rsidRPr="00F315D4">
        <w:rPr>
          <w:color w:val="000000"/>
          <w:sz w:val="22"/>
          <w:szCs w:val="22"/>
        </w:rPr>
        <w:t>other substances were present in the body at the point of death</w:t>
      </w:r>
      <w:r w:rsidR="00FC298E" w:rsidRPr="00F315D4">
        <w:rPr>
          <w:color w:val="000000"/>
          <w:sz w:val="22"/>
          <w:szCs w:val="22"/>
        </w:rPr>
        <w:t>, as measured by</w:t>
      </w:r>
      <w:r w:rsidR="00362575" w:rsidRPr="00F315D4">
        <w:rPr>
          <w:color w:val="000000"/>
          <w:sz w:val="22"/>
          <w:szCs w:val="22"/>
        </w:rPr>
        <w:t xml:space="preserve"> toxicology testing</w:t>
      </w:r>
      <w:r w:rsidR="00FC298E" w:rsidRPr="00F315D4">
        <w:rPr>
          <w:color w:val="000000"/>
          <w:sz w:val="22"/>
          <w:szCs w:val="22"/>
        </w:rPr>
        <w:t>.</w:t>
      </w:r>
      <w:r w:rsidR="00BD1962" w:rsidRPr="00F315D4">
        <w:rPr>
          <w:color w:val="000000"/>
          <w:sz w:val="22"/>
          <w:szCs w:val="22"/>
        </w:rPr>
        <w:t xml:space="preserve"> Commonly found substances that are not generally overdose related, such as caffeine and tobacco, we</w:t>
      </w:r>
      <w:r w:rsidR="00FC62FD" w:rsidRPr="00F315D4">
        <w:rPr>
          <w:color w:val="000000"/>
          <w:sz w:val="22"/>
          <w:szCs w:val="22"/>
        </w:rPr>
        <w:t>re excluded from these analyses. The five most common substances are presented in this report.</w:t>
      </w:r>
      <w:r w:rsidR="005B4823" w:rsidRPr="00F315D4">
        <w:rPr>
          <w:color w:val="000000"/>
          <w:sz w:val="22"/>
          <w:szCs w:val="22"/>
        </w:rPr>
        <w:t xml:space="preserve"> Frequencies and percent</w:t>
      </w:r>
      <w:r w:rsidR="00AF12FA" w:rsidRPr="00F315D4">
        <w:rPr>
          <w:color w:val="000000"/>
          <w:sz w:val="22"/>
          <w:szCs w:val="22"/>
        </w:rPr>
        <w:t>age</w:t>
      </w:r>
      <w:r w:rsidR="005B4823" w:rsidRPr="00F315D4">
        <w:rPr>
          <w:color w:val="000000"/>
          <w:sz w:val="22"/>
          <w:szCs w:val="22"/>
        </w:rPr>
        <w:t>s of decedents for each substance were calculated.</w:t>
      </w:r>
    </w:p>
    <w:p w14:paraId="0EF7BB85" w14:textId="148B27AD" w:rsidR="00AF12FA" w:rsidRPr="00F315D4" w:rsidRDefault="00AF12FA" w:rsidP="00F315D4">
      <w:pPr>
        <w:tabs>
          <w:tab w:val="left" w:pos="720"/>
        </w:tabs>
        <w:spacing w:after="220"/>
        <w:rPr>
          <w:sz w:val="22"/>
          <w:szCs w:val="22"/>
        </w:rPr>
      </w:pPr>
      <w:r w:rsidRPr="00F315D4">
        <w:rPr>
          <w:color w:val="000000"/>
          <w:sz w:val="22"/>
          <w:szCs w:val="22"/>
        </w:rPr>
        <w:t xml:space="preserve">The type of institution was collected for decedents who had recently been released from a treatment or other institution. Institutions included residential facilities not related to substance abuse treatment; jail, </w:t>
      </w:r>
      <w:r w:rsidRPr="00F315D4">
        <w:rPr>
          <w:color w:val="000000"/>
          <w:sz w:val="22"/>
          <w:szCs w:val="22"/>
        </w:rPr>
        <w:lastRenderedPageBreak/>
        <w:t>prison, or a detention facility; hospital; psychiatric hospital; or other institution. Frequencies and percentages of decedents for each institution were calculated.</w:t>
      </w:r>
      <w:r w:rsidR="003323F7" w:rsidRPr="00F315D4">
        <w:rPr>
          <w:color w:val="000000"/>
          <w:sz w:val="22"/>
          <w:szCs w:val="22"/>
        </w:rPr>
        <w:t xml:space="preserve"> </w:t>
      </w:r>
      <w:r w:rsidRPr="00F315D4">
        <w:rPr>
          <w:sz w:val="22"/>
          <w:szCs w:val="22"/>
        </w:rPr>
        <w:tab/>
        <w:t xml:space="preserve">Lastly, the location of death for each decedent was recorded. Locations included hospital inpatient, emergency department or </w:t>
      </w:r>
      <w:r w:rsidR="00BD1962" w:rsidRPr="00F315D4">
        <w:rPr>
          <w:sz w:val="22"/>
          <w:szCs w:val="22"/>
        </w:rPr>
        <w:t>clinic</w:t>
      </w:r>
      <w:r w:rsidRPr="00F315D4">
        <w:rPr>
          <w:sz w:val="22"/>
          <w:szCs w:val="22"/>
        </w:rPr>
        <w:t xml:space="preserve">, decedent’s home, or other location. Counts for each location were calculated, as well as the percent of decedents who died in each location who were administered </w:t>
      </w:r>
      <w:r w:rsidR="00BD1962" w:rsidRPr="00F315D4">
        <w:rPr>
          <w:sz w:val="22"/>
          <w:szCs w:val="22"/>
        </w:rPr>
        <w:t>na</w:t>
      </w:r>
      <w:r w:rsidRPr="00F315D4">
        <w:rPr>
          <w:sz w:val="22"/>
          <w:szCs w:val="22"/>
        </w:rPr>
        <w:t>loxone.</w:t>
      </w:r>
    </w:p>
    <w:p w14:paraId="5C8C2820" w14:textId="77777777" w:rsidR="006F644C" w:rsidRPr="00F315D4" w:rsidRDefault="006F644C" w:rsidP="00183A2C">
      <w:pPr>
        <w:pStyle w:val="Heading3"/>
      </w:pPr>
      <w:bookmarkStart w:id="21" w:name="_Toc17788953"/>
      <w:r w:rsidRPr="00F315D4">
        <w:t>Fatal Opioid Overdose Rates</w:t>
      </w:r>
      <w:bookmarkEnd w:id="21"/>
    </w:p>
    <w:p w14:paraId="6AF22368" w14:textId="31686F41" w:rsidR="00FB7F3B" w:rsidRPr="00F315D4" w:rsidRDefault="00485A24" w:rsidP="00F315D4">
      <w:pPr>
        <w:tabs>
          <w:tab w:val="left" w:pos="720"/>
        </w:tabs>
        <w:spacing w:after="220"/>
        <w:rPr>
          <w:sz w:val="22"/>
          <w:szCs w:val="22"/>
        </w:rPr>
      </w:pPr>
      <w:r w:rsidRPr="00F315D4">
        <w:rPr>
          <w:sz w:val="22"/>
          <w:szCs w:val="22"/>
        </w:rPr>
        <w:t xml:space="preserve">Fatal opioid overdose rates were calculated </w:t>
      </w:r>
      <w:r w:rsidR="00BD1962" w:rsidRPr="00F315D4">
        <w:rPr>
          <w:sz w:val="22"/>
          <w:szCs w:val="22"/>
        </w:rPr>
        <w:t xml:space="preserve">by </w:t>
      </w:r>
      <w:r w:rsidRPr="00F315D4">
        <w:rPr>
          <w:sz w:val="22"/>
          <w:szCs w:val="22"/>
        </w:rPr>
        <w:t>age range, sex, and count</w:t>
      </w:r>
      <w:r w:rsidR="00BD1962" w:rsidRPr="00F315D4">
        <w:rPr>
          <w:sz w:val="22"/>
          <w:szCs w:val="22"/>
        </w:rPr>
        <w:t>y</w:t>
      </w:r>
      <w:r w:rsidRPr="00F315D4">
        <w:rPr>
          <w:sz w:val="22"/>
          <w:szCs w:val="22"/>
        </w:rPr>
        <w:t xml:space="preserve">. </w:t>
      </w:r>
      <w:r w:rsidR="002B75CB" w:rsidRPr="00F315D4">
        <w:rPr>
          <w:sz w:val="22"/>
          <w:szCs w:val="22"/>
        </w:rPr>
        <w:t>Population estimates for rates involving age range, sex, and county were limited to individuals ages 10 and older to reflect inclusion of only those overdoses among individuals ages 10 and older. County</w:t>
      </w:r>
      <w:r w:rsidR="00AB20F5" w:rsidRPr="00F315D4">
        <w:rPr>
          <w:sz w:val="22"/>
          <w:szCs w:val="22"/>
        </w:rPr>
        <w:t>-</w:t>
      </w:r>
      <w:r w:rsidR="002B75CB" w:rsidRPr="00F315D4">
        <w:rPr>
          <w:sz w:val="22"/>
          <w:szCs w:val="22"/>
        </w:rPr>
        <w:t>level overdose rates were direct</w:t>
      </w:r>
      <w:r w:rsidR="00BD1962" w:rsidRPr="00F315D4">
        <w:rPr>
          <w:sz w:val="22"/>
          <w:szCs w:val="22"/>
        </w:rPr>
        <w:t>ly</w:t>
      </w:r>
      <w:r w:rsidR="002B75CB" w:rsidRPr="00F315D4">
        <w:rPr>
          <w:sz w:val="22"/>
          <w:szCs w:val="22"/>
        </w:rPr>
        <w:t xml:space="preserve"> age-adjusted to facilitate comparisons across counties without concern for differences in ages across counties.</w:t>
      </w:r>
      <w:r w:rsidR="002B75CB" w:rsidRPr="00F315D4">
        <w:rPr>
          <w:sz w:val="22"/>
          <w:szCs w:val="22"/>
        </w:rPr>
        <w:fldChar w:fldCharType="begin" w:fldLock="1"/>
      </w:r>
      <w:r w:rsidR="004D5A03" w:rsidRPr="00F315D4">
        <w:rPr>
          <w:sz w:val="22"/>
          <w:szCs w:val="22"/>
        </w:rPr>
        <w:instrText>ADDIN CSL_CITATION {"citationItems":[{"id":"ITEM-1","itemData":{"author":[{"dropping-particle":"","family":"Buescher","given":"Paul A","non-dropping-particle":"","parse-names":false,"suffix":""}],"id":"ITEM-1","issue":"13","issued":{"date-parts":[["2010"]]},"number-of-pages":"1-9","publisher-place":"Raleigh, NC","title":"Statistical Primer: Age-Adjusted Death Rates","type":"report"},"uris":["http://www.mendeley.com/documents/?uuid=f2d8441c-e67d-44a8-90a4-ed2df7a6122b"]}],"mendeley":{"formattedCitation":"&lt;sup&gt;18&lt;/sup&gt;","plainTextFormattedCitation":"18","previouslyFormattedCitation":"&lt;sup&gt;18&lt;/sup&gt;"},"properties":{"noteIndex":0},"schema":"https://github.com/citation-style-language/schema/raw/master/csl-citation.json"}</w:instrText>
      </w:r>
      <w:r w:rsidR="002B75CB" w:rsidRPr="00F315D4">
        <w:rPr>
          <w:sz w:val="22"/>
          <w:szCs w:val="22"/>
        </w:rPr>
        <w:fldChar w:fldCharType="separate"/>
      </w:r>
      <w:r w:rsidR="00067E47" w:rsidRPr="00F315D4">
        <w:rPr>
          <w:noProof/>
          <w:sz w:val="22"/>
          <w:szCs w:val="22"/>
          <w:vertAlign w:val="superscript"/>
        </w:rPr>
        <w:t>18</w:t>
      </w:r>
      <w:r w:rsidR="002B75CB" w:rsidRPr="00F315D4">
        <w:rPr>
          <w:sz w:val="22"/>
          <w:szCs w:val="22"/>
        </w:rPr>
        <w:fldChar w:fldCharType="end"/>
      </w:r>
    </w:p>
    <w:p w14:paraId="021D02BB" w14:textId="0E80F180" w:rsidR="00FB7F3B" w:rsidRPr="00F315D4" w:rsidRDefault="00C94AF8" w:rsidP="00F315D4">
      <w:pPr>
        <w:tabs>
          <w:tab w:val="left" w:pos="720"/>
        </w:tabs>
        <w:spacing w:after="220"/>
        <w:rPr>
          <w:color w:val="000000"/>
          <w:sz w:val="22"/>
          <w:szCs w:val="22"/>
        </w:rPr>
      </w:pPr>
      <w:r w:rsidRPr="00F315D4">
        <w:rPr>
          <w:sz w:val="22"/>
          <w:szCs w:val="22"/>
        </w:rPr>
        <w:t>Fatal opioid overdose rates were</w:t>
      </w:r>
      <w:r w:rsidR="00611B52" w:rsidRPr="00F315D4">
        <w:rPr>
          <w:sz w:val="22"/>
          <w:szCs w:val="22"/>
        </w:rPr>
        <w:t xml:space="preserve"> calculated </w:t>
      </w:r>
      <w:r w:rsidR="00E43FC0" w:rsidRPr="00F315D4">
        <w:rPr>
          <w:sz w:val="22"/>
          <w:szCs w:val="22"/>
        </w:rPr>
        <w:t>by</w:t>
      </w:r>
      <w:r w:rsidRPr="00F315D4">
        <w:rPr>
          <w:sz w:val="22"/>
          <w:szCs w:val="22"/>
        </w:rPr>
        <w:t xml:space="preserve"> education categories. </w:t>
      </w:r>
      <w:r w:rsidR="00E43FC0" w:rsidRPr="00F315D4">
        <w:rPr>
          <w:sz w:val="22"/>
          <w:szCs w:val="22"/>
        </w:rPr>
        <w:t>T</w:t>
      </w:r>
      <w:r w:rsidR="002B75CB" w:rsidRPr="00F315D4">
        <w:rPr>
          <w:color w:val="000000"/>
          <w:sz w:val="22"/>
          <w:szCs w:val="22"/>
        </w:rPr>
        <w:t xml:space="preserve">o more accurately represent the education levels </w:t>
      </w:r>
      <w:r w:rsidR="00E43FC0" w:rsidRPr="00F315D4">
        <w:rPr>
          <w:color w:val="000000"/>
          <w:sz w:val="22"/>
          <w:szCs w:val="22"/>
        </w:rPr>
        <w:t>instead of age</w:t>
      </w:r>
      <w:r w:rsidR="002B75CB" w:rsidRPr="00F315D4">
        <w:rPr>
          <w:color w:val="000000"/>
          <w:sz w:val="22"/>
          <w:szCs w:val="22"/>
        </w:rPr>
        <w:t xml:space="preserve"> of a community</w:t>
      </w:r>
      <w:r w:rsidR="00E43FC0" w:rsidRPr="00F315D4">
        <w:rPr>
          <w:color w:val="000000"/>
          <w:sz w:val="22"/>
          <w:szCs w:val="22"/>
        </w:rPr>
        <w:t xml:space="preserve">, </w:t>
      </w:r>
      <w:r w:rsidR="004D5A12" w:rsidRPr="00F315D4">
        <w:rPr>
          <w:color w:val="000000"/>
          <w:sz w:val="22"/>
          <w:szCs w:val="22"/>
        </w:rPr>
        <w:t xml:space="preserve">only </w:t>
      </w:r>
      <w:r w:rsidR="00E43FC0" w:rsidRPr="00F315D4">
        <w:rPr>
          <w:color w:val="000000"/>
          <w:sz w:val="22"/>
          <w:szCs w:val="22"/>
        </w:rPr>
        <w:t>individuals ages 25 and older were included as decedents and in population estimates when calculating rates by education</w:t>
      </w:r>
      <w:r w:rsidR="004D5A12" w:rsidRPr="00F315D4">
        <w:rPr>
          <w:color w:val="000000"/>
          <w:sz w:val="22"/>
          <w:szCs w:val="22"/>
        </w:rPr>
        <w:t>.</w:t>
      </w:r>
      <w:r w:rsidR="002B75CB" w:rsidRPr="00F315D4">
        <w:rPr>
          <w:color w:val="000000"/>
          <w:sz w:val="22"/>
          <w:szCs w:val="22"/>
        </w:rPr>
        <w:t xml:space="preserve"> </w:t>
      </w:r>
      <w:r w:rsidR="00FB7F3B" w:rsidRPr="00F315D4">
        <w:rPr>
          <w:sz w:val="22"/>
          <w:szCs w:val="22"/>
        </w:rPr>
        <w:t xml:space="preserve">Missing education values </w:t>
      </w:r>
      <w:r w:rsidR="001110F2" w:rsidRPr="00F315D4">
        <w:rPr>
          <w:sz w:val="22"/>
          <w:szCs w:val="22"/>
        </w:rPr>
        <w:t xml:space="preserve">for decedents </w:t>
      </w:r>
      <w:r w:rsidR="00FB7F3B" w:rsidRPr="00F315D4">
        <w:rPr>
          <w:sz w:val="22"/>
          <w:szCs w:val="22"/>
        </w:rPr>
        <w:t>were proportionally added to the other</w:t>
      </w:r>
      <w:r w:rsidR="004D5A12" w:rsidRPr="00F315D4">
        <w:rPr>
          <w:sz w:val="22"/>
          <w:szCs w:val="22"/>
        </w:rPr>
        <w:t xml:space="preserve"> education category frequencies.</w:t>
      </w:r>
    </w:p>
    <w:p w14:paraId="05F696FE" w14:textId="03BD69A9" w:rsidR="006F644C" w:rsidRPr="00F315D4" w:rsidRDefault="00C94AF8" w:rsidP="00F315D4">
      <w:pPr>
        <w:tabs>
          <w:tab w:val="left" w:pos="720"/>
        </w:tabs>
        <w:spacing w:after="220"/>
        <w:rPr>
          <w:sz w:val="22"/>
          <w:szCs w:val="22"/>
        </w:rPr>
      </w:pPr>
      <w:r w:rsidRPr="00F315D4">
        <w:rPr>
          <w:sz w:val="22"/>
          <w:szCs w:val="22"/>
        </w:rPr>
        <w:t xml:space="preserve">Fatal opioid overdose rates were calculated </w:t>
      </w:r>
      <w:r w:rsidR="00E43FC0" w:rsidRPr="00F315D4">
        <w:rPr>
          <w:sz w:val="22"/>
          <w:szCs w:val="22"/>
        </w:rPr>
        <w:t xml:space="preserve">by </w:t>
      </w:r>
      <w:r w:rsidRPr="00F315D4">
        <w:rPr>
          <w:sz w:val="22"/>
          <w:szCs w:val="22"/>
        </w:rPr>
        <w:t xml:space="preserve">homelessness status. </w:t>
      </w:r>
      <w:r w:rsidR="00FB7F3B" w:rsidRPr="00F315D4">
        <w:rPr>
          <w:color w:val="000000"/>
          <w:sz w:val="22"/>
          <w:szCs w:val="22"/>
        </w:rPr>
        <w:tab/>
      </w:r>
      <w:r w:rsidR="002B75CB" w:rsidRPr="00F315D4">
        <w:rPr>
          <w:color w:val="000000"/>
          <w:sz w:val="22"/>
          <w:szCs w:val="22"/>
        </w:rPr>
        <w:t>Population estimates for rates involving homelessness included all ages, but were collected</w:t>
      </w:r>
      <w:r w:rsidR="00B23704" w:rsidRPr="00F315D4">
        <w:rPr>
          <w:color w:val="000000"/>
          <w:sz w:val="22"/>
          <w:szCs w:val="22"/>
        </w:rPr>
        <w:t xml:space="preserve"> using 2016</w:t>
      </w:r>
      <w:r w:rsidR="004F78AC" w:rsidRPr="00F315D4">
        <w:rPr>
          <w:color w:val="000000"/>
          <w:sz w:val="22"/>
          <w:szCs w:val="22"/>
        </w:rPr>
        <w:t xml:space="preserve"> data</w:t>
      </w:r>
      <w:r w:rsidR="002B75CB" w:rsidRPr="00F315D4">
        <w:rPr>
          <w:color w:val="000000"/>
          <w:sz w:val="22"/>
          <w:szCs w:val="22"/>
        </w:rPr>
        <w:t xml:space="preserve"> for the geographic </w:t>
      </w:r>
      <w:r w:rsidR="003C5657" w:rsidRPr="00F315D4">
        <w:rPr>
          <w:color w:val="000000"/>
          <w:sz w:val="22"/>
          <w:szCs w:val="22"/>
        </w:rPr>
        <w:t>areas used in the</w:t>
      </w:r>
      <w:r w:rsidR="00E43FC0" w:rsidRPr="00F315D4">
        <w:rPr>
          <w:color w:val="000000"/>
          <w:sz w:val="22"/>
          <w:szCs w:val="22"/>
        </w:rPr>
        <w:t xml:space="preserve"> State of Florida Report: 2016 Homeless Census Estimates produced by the</w:t>
      </w:r>
      <w:r w:rsidR="003C5657" w:rsidRPr="00F315D4">
        <w:rPr>
          <w:color w:val="000000"/>
          <w:sz w:val="22"/>
          <w:szCs w:val="22"/>
        </w:rPr>
        <w:t xml:space="preserve"> Florida Coalition for the Homeless</w:t>
      </w:r>
      <w:r w:rsidR="00B23704" w:rsidRPr="00F315D4">
        <w:rPr>
          <w:color w:val="000000"/>
          <w:sz w:val="22"/>
          <w:szCs w:val="22"/>
        </w:rPr>
        <w:t>.</w:t>
      </w:r>
      <w:r w:rsidR="00C54851" w:rsidRPr="00F315D4">
        <w:rPr>
          <w:color w:val="000000"/>
          <w:sz w:val="22"/>
          <w:szCs w:val="22"/>
        </w:rPr>
        <w:fldChar w:fldCharType="begin" w:fldLock="1"/>
      </w:r>
      <w:r w:rsidR="004D5A03" w:rsidRPr="00F315D4">
        <w:rPr>
          <w:color w:val="000000"/>
          <w:sz w:val="22"/>
          <w:szCs w:val="22"/>
        </w:rPr>
        <w:instrText>ADDIN CSL_CITATION {"citationItems":[{"id":"ITEM-1","itemData":{"author":[{"dropping-particle":"","family":"Ullman","given":"Michael D","non-dropping-particle":"","parse-names":false,"suffix":""}],"id":"ITEM-1","issued":{"date-parts":[["2016"]]},"title":"State of Florida Report: 2016 Homeless Census Estimates and Funding Need to End Chronic Homelessness","type":"report"},"uris":["http://www.mendeley.com/documents/?uuid=f3c3220f-39ae-4e57-927f-f7b966325998"]}],"mendeley":{"formattedCitation":"&lt;sup&gt;19&lt;/sup&gt;","plainTextFormattedCitation":"19","previouslyFormattedCitation":"&lt;sup&gt;19&lt;/sup&gt;"},"properties":{"noteIndex":0},"schema":"https://github.com/citation-style-language/schema/raw/master/csl-citation.json"}</w:instrText>
      </w:r>
      <w:r w:rsidR="00C54851" w:rsidRPr="00F315D4">
        <w:rPr>
          <w:color w:val="000000"/>
          <w:sz w:val="22"/>
          <w:szCs w:val="22"/>
        </w:rPr>
        <w:fldChar w:fldCharType="separate"/>
      </w:r>
      <w:r w:rsidR="00067E47" w:rsidRPr="00F315D4">
        <w:rPr>
          <w:noProof/>
          <w:color w:val="000000"/>
          <w:sz w:val="22"/>
          <w:szCs w:val="22"/>
          <w:vertAlign w:val="superscript"/>
        </w:rPr>
        <w:t>19</w:t>
      </w:r>
      <w:r w:rsidR="00C54851" w:rsidRPr="00F315D4">
        <w:rPr>
          <w:color w:val="000000"/>
          <w:sz w:val="22"/>
          <w:szCs w:val="22"/>
        </w:rPr>
        <w:fldChar w:fldCharType="end"/>
      </w:r>
      <w:r w:rsidR="00717A02" w:rsidRPr="00F315D4">
        <w:rPr>
          <w:color w:val="000000"/>
          <w:sz w:val="22"/>
          <w:szCs w:val="22"/>
        </w:rPr>
        <w:t xml:space="preserve"> </w:t>
      </w:r>
      <w:r w:rsidR="00487D3D" w:rsidRPr="00F315D4">
        <w:rPr>
          <w:color w:val="000000"/>
          <w:sz w:val="22"/>
          <w:szCs w:val="22"/>
        </w:rPr>
        <w:t>Point-in-time (PIT) estimates of homelessness can be converted to annual estimates using a multiplier of 2.5, as conducted in the</w:t>
      </w:r>
      <w:r w:rsidR="00EE508E" w:rsidRPr="00F315D4">
        <w:rPr>
          <w:color w:val="000000"/>
          <w:sz w:val="22"/>
          <w:szCs w:val="22"/>
        </w:rPr>
        <w:t xml:space="preserve"> report.</w:t>
      </w:r>
      <w:r w:rsidR="00EE508E" w:rsidRPr="00F315D4">
        <w:rPr>
          <w:color w:val="000000"/>
          <w:sz w:val="22"/>
          <w:szCs w:val="22"/>
        </w:rPr>
        <w:fldChar w:fldCharType="begin" w:fldLock="1"/>
      </w:r>
      <w:r w:rsidR="004D5A03" w:rsidRPr="00F315D4">
        <w:rPr>
          <w:color w:val="000000"/>
          <w:sz w:val="22"/>
          <w:szCs w:val="22"/>
        </w:rPr>
        <w:instrText>ADDIN CSL_CITATION {"citationItems":[{"id":"ITEM-1","itemData":{"author":[{"dropping-particle":"","family":"Ullman","given":"Michael D","non-dropping-particle":"","parse-names":false,"suffix":""}],"id":"ITEM-1","issued":{"date-parts":[["2016"]]},"title":"State of Florida Report: 2016 Homeless Census Estimates and Funding Need to End Chronic Homelessness","type":"report"},"uris":["http://www.mendeley.com/documents/?uuid=f3c3220f-39ae-4e57-927f-f7b966325998"]}],"mendeley":{"formattedCitation":"&lt;sup&gt;19&lt;/sup&gt;","plainTextFormattedCitation":"19","previouslyFormattedCitation":"&lt;sup&gt;19&lt;/sup&gt;"},"properties":{"noteIndex":0},"schema":"https://github.com/citation-style-language/schema/raw/master/csl-citation.json"}</w:instrText>
      </w:r>
      <w:r w:rsidR="00EE508E" w:rsidRPr="00F315D4">
        <w:rPr>
          <w:color w:val="000000"/>
          <w:sz w:val="22"/>
          <w:szCs w:val="22"/>
        </w:rPr>
        <w:fldChar w:fldCharType="separate"/>
      </w:r>
      <w:r w:rsidR="00067E47" w:rsidRPr="00F315D4">
        <w:rPr>
          <w:noProof/>
          <w:color w:val="000000"/>
          <w:sz w:val="22"/>
          <w:szCs w:val="22"/>
          <w:vertAlign w:val="superscript"/>
        </w:rPr>
        <w:t>19</w:t>
      </w:r>
      <w:r w:rsidR="00EE508E" w:rsidRPr="00F315D4">
        <w:rPr>
          <w:color w:val="000000"/>
          <w:sz w:val="22"/>
          <w:szCs w:val="22"/>
        </w:rPr>
        <w:fldChar w:fldCharType="end"/>
      </w:r>
      <w:r w:rsidR="00EE508E" w:rsidRPr="00F315D4">
        <w:rPr>
          <w:color w:val="000000"/>
          <w:sz w:val="22"/>
          <w:szCs w:val="22"/>
        </w:rPr>
        <w:t xml:space="preserve"> The present analysis used </w:t>
      </w:r>
      <w:r w:rsidR="00EA2319" w:rsidRPr="00F315D4">
        <w:rPr>
          <w:sz w:val="22"/>
          <w:szCs w:val="22"/>
        </w:rPr>
        <w:t>1.75 as an adjustment of PIT homelessness to create a 6-month homeless variable</w:t>
      </w:r>
      <w:r w:rsidR="00EE508E" w:rsidRPr="00F315D4">
        <w:rPr>
          <w:sz w:val="22"/>
          <w:szCs w:val="22"/>
        </w:rPr>
        <w:t xml:space="preserve"> to match the time frame of this report</w:t>
      </w:r>
      <w:r w:rsidR="00EA2319" w:rsidRPr="00F315D4">
        <w:rPr>
          <w:sz w:val="22"/>
          <w:szCs w:val="22"/>
        </w:rPr>
        <w:t>.</w:t>
      </w:r>
      <w:r w:rsidR="00EE508E" w:rsidRPr="00F315D4">
        <w:rPr>
          <w:sz w:val="22"/>
          <w:szCs w:val="22"/>
        </w:rPr>
        <w:t xml:space="preserve"> </w:t>
      </w:r>
      <w:r w:rsidR="00717A02" w:rsidRPr="00F315D4">
        <w:rPr>
          <w:color w:val="000000"/>
          <w:sz w:val="22"/>
          <w:szCs w:val="22"/>
        </w:rPr>
        <w:t>The Florida Coalition for the Homeless 2016 report did not have</w:t>
      </w:r>
      <w:r w:rsidR="002B75CB" w:rsidRPr="00F315D4">
        <w:rPr>
          <w:sz w:val="22"/>
          <w:szCs w:val="22"/>
        </w:rPr>
        <w:t xml:space="preserve"> homeless data for Baker, Bradford, Calhoun, DeSoto, Dixie, Franklin, Gadsden, Gilchrist, Glades, Gulf, Holmes, Jefferson, Levy, Liberty, Madison, Nassau, Okeechobee, Taylor, Union, Wakulla, and Washington counties.</w:t>
      </w:r>
      <w:r w:rsidR="00EA2319" w:rsidRPr="00F315D4">
        <w:rPr>
          <w:sz w:val="22"/>
          <w:szCs w:val="22"/>
        </w:rPr>
        <w:t xml:space="preserve"> These counties were removed from the homelessness rates analyses in addition to the counties not included due to not reporting fatal opioid overdose data. Lastly, some data were</w:t>
      </w:r>
      <w:r w:rsidR="00CA3908" w:rsidRPr="00F315D4">
        <w:rPr>
          <w:sz w:val="22"/>
          <w:szCs w:val="22"/>
        </w:rPr>
        <w:t xml:space="preserve"> missing due to </w:t>
      </w:r>
      <w:r w:rsidR="00884B83" w:rsidRPr="00F315D4">
        <w:rPr>
          <w:sz w:val="22"/>
          <w:szCs w:val="22"/>
        </w:rPr>
        <w:t>FL-ESOOS</w:t>
      </w:r>
      <w:r w:rsidR="00CA3908" w:rsidRPr="00F315D4">
        <w:rPr>
          <w:sz w:val="22"/>
          <w:szCs w:val="22"/>
        </w:rPr>
        <w:t xml:space="preserve"> not having record of the decedent’s homelessness </w:t>
      </w:r>
      <w:r w:rsidR="002B75CB" w:rsidRPr="00F315D4">
        <w:rPr>
          <w:sz w:val="22"/>
          <w:szCs w:val="22"/>
        </w:rPr>
        <w:t>status.</w:t>
      </w:r>
      <w:r w:rsidR="00EE508E" w:rsidRPr="00F315D4">
        <w:rPr>
          <w:sz w:val="22"/>
          <w:szCs w:val="22"/>
        </w:rPr>
        <w:t xml:space="preserve"> Most overdoses occur at home, and identifying addresses would be easier than identifying homelessness, so it is likely that the </w:t>
      </w:r>
      <w:r w:rsidR="00DC1332" w:rsidRPr="00F315D4">
        <w:rPr>
          <w:sz w:val="22"/>
          <w:szCs w:val="22"/>
        </w:rPr>
        <w:t>presence</w:t>
      </w:r>
      <w:r w:rsidR="00EE508E" w:rsidRPr="00F315D4">
        <w:rPr>
          <w:sz w:val="22"/>
          <w:szCs w:val="22"/>
        </w:rPr>
        <w:t xml:space="preserve"> of missing homelessness data for decedents </w:t>
      </w:r>
      <w:r w:rsidR="00DC1332" w:rsidRPr="00F315D4">
        <w:rPr>
          <w:sz w:val="22"/>
          <w:szCs w:val="22"/>
        </w:rPr>
        <w:t>would make a relative risk for fatal opioid overdoses</w:t>
      </w:r>
      <w:r w:rsidR="00EE508E" w:rsidRPr="00F315D4">
        <w:rPr>
          <w:sz w:val="22"/>
          <w:szCs w:val="22"/>
        </w:rPr>
        <w:t xml:space="preserve"> </w:t>
      </w:r>
      <w:r w:rsidR="00DC1332" w:rsidRPr="00F315D4">
        <w:rPr>
          <w:sz w:val="22"/>
          <w:szCs w:val="22"/>
        </w:rPr>
        <w:t>more conservative.</w:t>
      </w:r>
    </w:p>
    <w:p w14:paraId="3F0303AD" w14:textId="71E09492" w:rsidR="00981C62" w:rsidRPr="00F315D4" w:rsidRDefault="00751ADD" w:rsidP="00183A2C">
      <w:pPr>
        <w:pStyle w:val="Heading2"/>
      </w:pPr>
      <w:bookmarkStart w:id="22" w:name="_Toc17788954"/>
      <w:r>
        <w:t xml:space="preserve">SAMPLE </w:t>
      </w:r>
      <w:r w:rsidR="00981C62" w:rsidRPr="00F315D4">
        <w:t>R</w:t>
      </w:r>
      <w:r>
        <w:t>EPRESENTATIVENESS</w:t>
      </w:r>
      <w:bookmarkEnd w:id="22"/>
    </w:p>
    <w:p w14:paraId="71B0E387" w14:textId="643A0FB5" w:rsidR="00981C62" w:rsidRDefault="00981C62" w:rsidP="00F315D4">
      <w:pPr>
        <w:tabs>
          <w:tab w:val="left" w:pos="720"/>
        </w:tabs>
        <w:spacing w:after="220"/>
        <w:rPr>
          <w:sz w:val="22"/>
          <w:szCs w:val="22"/>
        </w:rPr>
      </w:pPr>
      <w:r w:rsidRPr="00F315D4">
        <w:rPr>
          <w:sz w:val="22"/>
          <w:szCs w:val="22"/>
        </w:rPr>
        <w:t xml:space="preserve">Demographic differences were assessed between the 57 counties reporting data to </w:t>
      </w:r>
      <w:r w:rsidR="00884B83" w:rsidRPr="00F315D4">
        <w:rPr>
          <w:sz w:val="22"/>
          <w:szCs w:val="22"/>
        </w:rPr>
        <w:t>FL-ESOOS</w:t>
      </w:r>
      <w:r w:rsidRPr="00F315D4">
        <w:rPr>
          <w:sz w:val="22"/>
          <w:szCs w:val="22"/>
        </w:rPr>
        <w:t xml:space="preserve"> and the entire state of Florida, or what this report would include if all counties were reporting data. Table 3 presents the demographic breakdowns as well as the differences between the reporting counties and the entire state for sex, race/ethnicity, age, and education. All categories of the reporting counties were within </w:t>
      </w:r>
      <w:r w:rsidR="00872800">
        <w:rPr>
          <w:sz w:val="22"/>
          <w:szCs w:val="22"/>
        </w:rPr>
        <w:t>one percent</w:t>
      </w:r>
      <w:r w:rsidRPr="00F315D4">
        <w:rPr>
          <w:sz w:val="22"/>
          <w:szCs w:val="22"/>
        </w:rPr>
        <w:t xml:space="preserve"> of the entire state of Florid</w:t>
      </w:r>
      <w:r w:rsidR="00872800">
        <w:rPr>
          <w:sz w:val="22"/>
          <w:szCs w:val="22"/>
        </w:rPr>
        <w:t>a. Th</w:t>
      </w:r>
      <w:r w:rsidRPr="00F315D4">
        <w:rPr>
          <w:sz w:val="22"/>
          <w:szCs w:val="22"/>
        </w:rPr>
        <w:t>ough only 82.05</w:t>
      </w:r>
      <w:r w:rsidR="00872800">
        <w:rPr>
          <w:sz w:val="22"/>
          <w:szCs w:val="22"/>
        </w:rPr>
        <w:t xml:space="preserve"> percent</w:t>
      </w:r>
      <w:r w:rsidRPr="00F315D4">
        <w:rPr>
          <w:sz w:val="22"/>
          <w:szCs w:val="22"/>
        </w:rPr>
        <w:t xml:space="preserve"> of Florida’s population is included in this report, the demographic similarities suggest it is likely the report’s results are generally representative of the state of Florida. </w:t>
      </w:r>
    </w:p>
    <w:p w14:paraId="22798446" w14:textId="2AD42C06" w:rsidR="009772D8" w:rsidRDefault="009772D8" w:rsidP="00F315D4">
      <w:pPr>
        <w:tabs>
          <w:tab w:val="left" w:pos="720"/>
        </w:tabs>
        <w:spacing w:after="220"/>
        <w:rPr>
          <w:sz w:val="22"/>
          <w:szCs w:val="22"/>
        </w:rPr>
      </w:pPr>
    </w:p>
    <w:p w14:paraId="28A9BDAB" w14:textId="12DE1AA5" w:rsidR="009772D8" w:rsidRDefault="009772D8" w:rsidP="00F315D4">
      <w:pPr>
        <w:tabs>
          <w:tab w:val="left" w:pos="720"/>
        </w:tabs>
        <w:spacing w:after="220"/>
        <w:rPr>
          <w:sz w:val="22"/>
          <w:szCs w:val="22"/>
        </w:rPr>
      </w:pPr>
    </w:p>
    <w:p w14:paraId="6DB0F764" w14:textId="390FB429" w:rsidR="009772D8" w:rsidRDefault="009772D8" w:rsidP="00F315D4">
      <w:pPr>
        <w:tabs>
          <w:tab w:val="left" w:pos="720"/>
        </w:tabs>
        <w:spacing w:after="220"/>
        <w:rPr>
          <w:sz w:val="22"/>
          <w:szCs w:val="22"/>
        </w:rPr>
      </w:pPr>
    </w:p>
    <w:p w14:paraId="2A7F540D" w14:textId="71C83150" w:rsidR="009772D8" w:rsidRDefault="009772D8" w:rsidP="00F315D4">
      <w:pPr>
        <w:tabs>
          <w:tab w:val="left" w:pos="720"/>
        </w:tabs>
        <w:spacing w:after="220"/>
        <w:rPr>
          <w:sz w:val="22"/>
          <w:szCs w:val="22"/>
        </w:rPr>
      </w:pPr>
    </w:p>
    <w:p w14:paraId="2818CBEA" w14:textId="77777777" w:rsidR="009772D8" w:rsidRPr="00F315D4" w:rsidRDefault="009772D8" w:rsidP="00F315D4">
      <w:pPr>
        <w:tabs>
          <w:tab w:val="left" w:pos="720"/>
        </w:tabs>
        <w:spacing w:after="220"/>
        <w:rPr>
          <w:sz w:val="22"/>
          <w:szCs w:val="22"/>
        </w:rPr>
      </w:pPr>
    </w:p>
    <w:tbl>
      <w:tblPr>
        <w:tblStyle w:val="TableGrid"/>
        <w:tblW w:w="10080" w:type="dxa"/>
        <w:tblLayout w:type="fixed"/>
        <w:tblLook w:val="04A0" w:firstRow="1" w:lastRow="0" w:firstColumn="1" w:lastColumn="0" w:noHBand="0" w:noVBand="1"/>
      </w:tblPr>
      <w:tblGrid>
        <w:gridCol w:w="3780"/>
        <w:gridCol w:w="1890"/>
        <w:gridCol w:w="900"/>
        <w:gridCol w:w="1440"/>
        <w:gridCol w:w="360"/>
        <w:gridCol w:w="180"/>
        <w:gridCol w:w="1080"/>
        <w:gridCol w:w="450"/>
      </w:tblGrid>
      <w:tr w:rsidR="00981C62" w:rsidRPr="00051340" w14:paraId="1D21CF89" w14:textId="77777777" w:rsidTr="00A00CBC">
        <w:trPr>
          <w:trHeight w:val="343"/>
        </w:trPr>
        <w:tc>
          <w:tcPr>
            <w:tcW w:w="10080" w:type="dxa"/>
            <w:gridSpan w:val="8"/>
            <w:tcBorders>
              <w:top w:val="nil"/>
              <w:left w:val="nil"/>
              <w:bottom w:val="single" w:sz="36" w:space="0" w:color="auto"/>
              <w:right w:val="nil"/>
            </w:tcBorders>
          </w:tcPr>
          <w:p w14:paraId="2A15B086" w14:textId="77777777" w:rsidR="00981C62" w:rsidRPr="00BC401D" w:rsidRDefault="00981C62" w:rsidP="00A00CBC">
            <w:pPr>
              <w:spacing w:after="120"/>
              <w:rPr>
                <w:b/>
              </w:rPr>
            </w:pPr>
            <w:r w:rsidRPr="00BC401D">
              <w:rPr>
                <w:b/>
              </w:rPr>
              <w:lastRenderedPageBreak/>
              <w:t xml:space="preserve">Table </w:t>
            </w:r>
            <w:r>
              <w:rPr>
                <w:b/>
              </w:rPr>
              <w:t>3</w:t>
            </w:r>
            <w:r w:rsidRPr="00BC401D">
              <w:rPr>
                <w:b/>
              </w:rPr>
              <w:t xml:space="preserve">: </w:t>
            </w:r>
            <w:r>
              <w:rPr>
                <w:b/>
              </w:rPr>
              <w:t>Demographic Variables of Reporting Counties and the State of Florida</w:t>
            </w:r>
          </w:p>
        </w:tc>
      </w:tr>
      <w:tr w:rsidR="00981C62" w:rsidRPr="00D47DDD" w14:paraId="28A25CEC" w14:textId="77777777" w:rsidTr="00A00CBC">
        <w:trPr>
          <w:trHeight w:val="343"/>
        </w:trPr>
        <w:tc>
          <w:tcPr>
            <w:tcW w:w="3780" w:type="dxa"/>
            <w:tcBorders>
              <w:top w:val="single" w:sz="36" w:space="0" w:color="auto"/>
              <w:left w:val="nil"/>
              <w:bottom w:val="single" w:sz="2" w:space="0" w:color="auto"/>
              <w:right w:val="nil"/>
            </w:tcBorders>
            <w:vAlign w:val="center"/>
          </w:tcPr>
          <w:p w14:paraId="35237FDB" w14:textId="77777777" w:rsidR="00981C62" w:rsidRPr="0064417A" w:rsidRDefault="00981C62" w:rsidP="00A00CBC">
            <w:pPr>
              <w:spacing w:after="0"/>
              <w:jc w:val="center"/>
              <w:rPr>
                <w:b/>
                <w:i/>
                <w:sz w:val="22"/>
              </w:rPr>
            </w:pPr>
            <w:r w:rsidRPr="0064417A">
              <w:rPr>
                <w:b/>
                <w:i/>
                <w:sz w:val="22"/>
              </w:rPr>
              <w:t>Variable</w:t>
            </w:r>
          </w:p>
        </w:tc>
        <w:tc>
          <w:tcPr>
            <w:tcW w:w="2790" w:type="dxa"/>
            <w:gridSpan w:val="2"/>
            <w:tcBorders>
              <w:top w:val="single" w:sz="36" w:space="0" w:color="auto"/>
              <w:left w:val="nil"/>
              <w:bottom w:val="single" w:sz="2" w:space="0" w:color="auto"/>
              <w:right w:val="nil"/>
            </w:tcBorders>
            <w:vAlign w:val="center"/>
          </w:tcPr>
          <w:p w14:paraId="2DECBA2B" w14:textId="77777777" w:rsidR="00981C62" w:rsidRPr="00490BEE" w:rsidRDefault="00981C62" w:rsidP="00A00CBC">
            <w:pPr>
              <w:spacing w:after="0"/>
              <w:jc w:val="center"/>
              <w:rPr>
                <w:rFonts w:eastAsia="Times New Roman"/>
                <w:b/>
                <w:i/>
                <w:sz w:val="22"/>
                <w:szCs w:val="22"/>
              </w:rPr>
            </w:pPr>
            <w:r w:rsidRPr="00490BEE">
              <w:rPr>
                <w:rFonts w:eastAsia="Times New Roman"/>
                <w:b/>
                <w:i/>
                <w:sz w:val="22"/>
                <w:szCs w:val="22"/>
              </w:rPr>
              <w:t>% of Reporting Counties</w:t>
            </w:r>
          </w:p>
        </w:tc>
        <w:tc>
          <w:tcPr>
            <w:tcW w:w="1980" w:type="dxa"/>
            <w:gridSpan w:val="3"/>
            <w:tcBorders>
              <w:top w:val="single" w:sz="36" w:space="0" w:color="auto"/>
              <w:left w:val="nil"/>
              <w:bottom w:val="single" w:sz="2" w:space="0" w:color="auto"/>
              <w:right w:val="nil"/>
            </w:tcBorders>
            <w:vAlign w:val="center"/>
          </w:tcPr>
          <w:p w14:paraId="6DAED3A4" w14:textId="77777777" w:rsidR="00981C62" w:rsidRPr="00490BEE" w:rsidRDefault="00981C62" w:rsidP="00A00CBC">
            <w:pPr>
              <w:spacing w:after="0"/>
              <w:jc w:val="center"/>
              <w:rPr>
                <w:rFonts w:eastAsia="Times New Roman"/>
                <w:b/>
                <w:i/>
                <w:sz w:val="22"/>
                <w:szCs w:val="22"/>
              </w:rPr>
            </w:pPr>
            <w:r w:rsidRPr="00490BEE">
              <w:rPr>
                <w:rFonts w:eastAsia="Times New Roman"/>
                <w:b/>
                <w:i/>
                <w:sz w:val="22"/>
                <w:szCs w:val="22"/>
              </w:rPr>
              <w:t>% of Florida</w:t>
            </w:r>
          </w:p>
        </w:tc>
        <w:tc>
          <w:tcPr>
            <w:tcW w:w="1530" w:type="dxa"/>
            <w:gridSpan w:val="2"/>
            <w:tcBorders>
              <w:top w:val="single" w:sz="36" w:space="0" w:color="auto"/>
              <w:left w:val="nil"/>
              <w:bottom w:val="single" w:sz="2" w:space="0" w:color="auto"/>
              <w:right w:val="nil"/>
            </w:tcBorders>
            <w:vAlign w:val="center"/>
          </w:tcPr>
          <w:p w14:paraId="66FA3A7B" w14:textId="77777777" w:rsidR="00981C62" w:rsidRPr="00490BEE" w:rsidRDefault="00981C62" w:rsidP="00A00CBC">
            <w:pPr>
              <w:spacing w:after="0"/>
              <w:jc w:val="center"/>
              <w:rPr>
                <w:rFonts w:eastAsia="Times New Roman"/>
                <w:b/>
                <w:i/>
                <w:sz w:val="22"/>
                <w:szCs w:val="22"/>
              </w:rPr>
            </w:pPr>
            <w:r w:rsidRPr="00490BEE">
              <w:rPr>
                <w:rFonts w:eastAsia="Times New Roman"/>
                <w:b/>
                <w:i/>
                <w:sz w:val="22"/>
                <w:szCs w:val="22"/>
              </w:rPr>
              <w:t>Difference</w:t>
            </w:r>
          </w:p>
        </w:tc>
      </w:tr>
      <w:tr w:rsidR="00981C62" w:rsidRPr="00D47DDD" w14:paraId="7F1FBF22" w14:textId="77777777" w:rsidTr="00A00CBC">
        <w:trPr>
          <w:trHeight w:val="274"/>
        </w:trPr>
        <w:tc>
          <w:tcPr>
            <w:tcW w:w="3780" w:type="dxa"/>
            <w:tcBorders>
              <w:top w:val="single" w:sz="2" w:space="0" w:color="auto"/>
              <w:left w:val="nil"/>
              <w:bottom w:val="nil"/>
              <w:right w:val="single" w:sz="4" w:space="0" w:color="auto"/>
            </w:tcBorders>
          </w:tcPr>
          <w:p w14:paraId="77D39436" w14:textId="77777777" w:rsidR="00981C62" w:rsidRPr="00713929" w:rsidRDefault="00981C62" w:rsidP="00A00CBC">
            <w:pPr>
              <w:spacing w:after="0"/>
              <w:rPr>
                <w:sz w:val="22"/>
              </w:rPr>
            </w:pPr>
            <w:r w:rsidRPr="00713929">
              <w:rPr>
                <w:sz w:val="22"/>
              </w:rPr>
              <w:t>Sex</w:t>
            </w:r>
          </w:p>
        </w:tc>
        <w:tc>
          <w:tcPr>
            <w:tcW w:w="1890" w:type="dxa"/>
            <w:tcBorders>
              <w:top w:val="single" w:sz="2" w:space="0" w:color="auto"/>
              <w:left w:val="single" w:sz="4" w:space="0" w:color="auto"/>
              <w:bottom w:val="nil"/>
              <w:right w:val="nil"/>
            </w:tcBorders>
          </w:tcPr>
          <w:p w14:paraId="0AE9CA97" w14:textId="77777777" w:rsidR="00981C62" w:rsidRPr="00490BEE" w:rsidRDefault="00981C62" w:rsidP="00A00CBC">
            <w:pPr>
              <w:spacing w:after="0"/>
              <w:rPr>
                <w:rFonts w:eastAsia="Times New Roman"/>
                <w:sz w:val="22"/>
                <w:szCs w:val="22"/>
              </w:rPr>
            </w:pPr>
          </w:p>
        </w:tc>
        <w:tc>
          <w:tcPr>
            <w:tcW w:w="900" w:type="dxa"/>
            <w:tcBorders>
              <w:top w:val="single" w:sz="2" w:space="0" w:color="auto"/>
              <w:left w:val="nil"/>
              <w:bottom w:val="nil"/>
              <w:right w:val="nil"/>
            </w:tcBorders>
          </w:tcPr>
          <w:p w14:paraId="460DB6C8" w14:textId="77777777" w:rsidR="00981C62" w:rsidRPr="00490BEE" w:rsidRDefault="00981C62" w:rsidP="00A00CBC">
            <w:pPr>
              <w:spacing w:after="0"/>
              <w:rPr>
                <w:rFonts w:eastAsia="Times New Roman"/>
                <w:sz w:val="22"/>
                <w:szCs w:val="22"/>
              </w:rPr>
            </w:pPr>
          </w:p>
        </w:tc>
        <w:tc>
          <w:tcPr>
            <w:tcW w:w="1440" w:type="dxa"/>
            <w:tcBorders>
              <w:top w:val="single" w:sz="2" w:space="0" w:color="auto"/>
              <w:left w:val="nil"/>
              <w:bottom w:val="nil"/>
              <w:right w:val="nil"/>
            </w:tcBorders>
          </w:tcPr>
          <w:p w14:paraId="1729EBC7" w14:textId="77777777" w:rsidR="00981C62" w:rsidRPr="00490BEE" w:rsidRDefault="00981C62" w:rsidP="00A00CBC">
            <w:pPr>
              <w:spacing w:after="0"/>
              <w:jc w:val="right"/>
              <w:rPr>
                <w:rFonts w:eastAsia="Times New Roman"/>
                <w:sz w:val="22"/>
                <w:szCs w:val="22"/>
              </w:rPr>
            </w:pPr>
          </w:p>
        </w:tc>
        <w:tc>
          <w:tcPr>
            <w:tcW w:w="360" w:type="dxa"/>
            <w:tcBorders>
              <w:top w:val="single" w:sz="2" w:space="0" w:color="auto"/>
              <w:left w:val="nil"/>
              <w:bottom w:val="nil"/>
              <w:right w:val="nil"/>
            </w:tcBorders>
          </w:tcPr>
          <w:p w14:paraId="3E46F1F5" w14:textId="77777777" w:rsidR="00981C62" w:rsidRPr="00490BEE" w:rsidRDefault="00981C62" w:rsidP="00A00CBC">
            <w:pPr>
              <w:spacing w:after="0"/>
              <w:rPr>
                <w:rFonts w:eastAsia="Times New Roman"/>
                <w:sz w:val="22"/>
                <w:szCs w:val="22"/>
              </w:rPr>
            </w:pPr>
          </w:p>
        </w:tc>
        <w:tc>
          <w:tcPr>
            <w:tcW w:w="1260" w:type="dxa"/>
            <w:gridSpan w:val="2"/>
            <w:tcBorders>
              <w:top w:val="single" w:sz="4" w:space="0" w:color="auto"/>
              <w:left w:val="nil"/>
              <w:bottom w:val="nil"/>
              <w:right w:val="nil"/>
            </w:tcBorders>
          </w:tcPr>
          <w:p w14:paraId="42BD147A" w14:textId="77777777" w:rsidR="00981C62" w:rsidRPr="00490BEE" w:rsidRDefault="00981C62" w:rsidP="00A00CBC">
            <w:pPr>
              <w:spacing w:after="0"/>
              <w:rPr>
                <w:rFonts w:eastAsia="Times New Roman"/>
                <w:sz w:val="22"/>
                <w:szCs w:val="22"/>
              </w:rPr>
            </w:pPr>
          </w:p>
        </w:tc>
        <w:tc>
          <w:tcPr>
            <w:tcW w:w="450" w:type="dxa"/>
            <w:tcBorders>
              <w:top w:val="single" w:sz="4" w:space="0" w:color="auto"/>
              <w:left w:val="nil"/>
              <w:bottom w:val="nil"/>
              <w:right w:val="nil"/>
            </w:tcBorders>
          </w:tcPr>
          <w:p w14:paraId="6AC7694E" w14:textId="77777777" w:rsidR="00981C62" w:rsidRPr="00D47DDD" w:rsidRDefault="00981C62" w:rsidP="00A00CBC">
            <w:pPr>
              <w:spacing w:after="0"/>
              <w:rPr>
                <w:rFonts w:eastAsia="Times New Roman"/>
                <w:sz w:val="22"/>
              </w:rPr>
            </w:pPr>
          </w:p>
        </w:tc>
      </w:tr>
      <w:tr w:rsidR="00981C62" w:rsidRPr="00D47DDD" w14:paraId="7F311DB8" w14:textId="77777777" w:rsidTr="00A00CBC">
        <w:trPr>
          <w:trHeight w:val="274"/>
        </w:trPr>
        <w:tc>
          <w:tcPr>
            <w:tcW w:w="3780" w:type="dxa"/>
            <w:tcBorders>
              <w:top w:val="nil"/>
              <w:left w:val="nil"/>
              <w:bottom w:val="nil"/>
              <w:right w:val="single" w:sz="4" w:space="0" w:color="auto"/>
            </w:tcBorders>
          </w:tcPr>
          <w:p w14:paraId="7FF46778" w14:textId="77777777" w:rsidR="00981C62" w:rsidRPr="00713929" w:rsidRDefault="00981C62" w:rsidP="00A00CBC">
            <w:pPr>
              <w:spacing w:after="0"/>
              <w:rPr>
                <w:i/>
                <w:sz w:val="22"/>
              </w:rPr>
            </w:pPr>
            <w:r w:rsidRPr="00713929">
              <w:rPr>
                <w:i/>
                <w:sz w:val="22"/>
              </w:rPr>
              <w:t xml:space="preserve">     Female</w:t>
            </w:r>
          </w:p>
        </w:tc>
        <w:tc>
          <w:tcPr>
            <w:tcW w:w="1890" w:type="dxa"/>
            <w:tcBorders>
              <w:top w:val="nil"/>
              <w:left w:val="single" w:sz="4" w:space="0" w:color="auto"/>
              <w:bottom w:val="nil"/>
              <w:right w:val="nil"/>
            </w:tcBorders>
            <w:vAlign w:val="center"/>
          </w:tcPr>
          <w:p w14:paraId="5E326AFE" w14:textId="77777777" w:rsidR="00981C62" w:rsidRPr="008A2861" w:rsidRDefault="00981C62" w:rsidP="00A00CBC">
            <w:pPr>
              <w:spacing w:after="0"/>
              <w:jc w:val="right"/>
              <w:rPr>
                <w:rFonts w:eastAsia="Times New Roman"/>
                <w:sz w:val="22"/>
                <w:szCs w:val="22"/>
              </w:rPr>
            </w:pPr>
            <w:r w:rsidRPr="008A2861">
              <w:rPr>
                <w:color w:val="000000"/>
                <w:sz w:val="22"/>
                <w:szCs w:val="22"/>
              </w:rPr>
              <w:t>51.06%</w:t>
            </w:r>
          </w:p>
        </w:tc>
        <w:tc>
          <w:tcPr>
            <w:tcW w:w="900" w:type="dxa"/>
            <w:tcBorders>
              <w:top w:val="nil"/>
              <w:left w:val="nil"/>
              <w:bottom w:val="nil"/>
              <w:right w:val="nil"/>
            </w:tcBorders>
            <w:vAlign w:val="center"/>
          </w:tcPr>
          <w:p w14:paraId="4F3F6A9D"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4EE9E8CB"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51.11%</w:t>
            </w:r>
          </w:p>
        </w:tc>
        <w:tc>
          <w:tcPr>
            <w:tcW w:w="360" w:type="dxa"/>
            <w:tcBorders>
              <w:top w:val="nil"/>
              <w:left w:val="nil"/>
              <w:bottom w:val="nil"/>
              <w:right w:val="nil"/>
            </w:tcBorders>
            <w:vAlign w:val="center"/>
          </w:tcPr>
          <w:p w14:paraId="7E9492D4"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24D1BC1D"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0.05</w:t>
            </w:r>
          </w:p>
        </w:tc>
        <w:tc>
          <w:tcPr>
            <w:tcW w:w="450" w:type="dxa"/>
            <w:tcBorders>
              <w:top w:val="nil"/>
              <w:left w:val="nil"/>
              <w:bottom w:val="nil"/>
              <w:right w:val="nil"/>
            </w:tcBorders>
          </w:tcPr>
          <w:p w14:paraId="1D2A69FF"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21E49857" w14:textId="77777777" w:rsidTr="00A00CBC">
        <w:trPr>
          <w:trHeight w:val="274"/>
        </w:trPr>
        <w:tc>
          <w:tcPr>
            <w:tcW w:w="3780" w:type="dxa"/>
            <w:tcBorders>
              <w:top w:val="nil"/>
              <w:left w:val="nil"/>
              <w:bottom w:val="nil"/>
              <w:right w:val="single" w:sz="4" w:space="0" w:color="auto"/>
            </w:tcBorders>
          </w:tcPr>
          <w:p w14:paraId="1A4E23FE" w14:textId="77777777" w:rsidR="00981C62" w:rsidRPr="00713929" w:rsidRDefault="00981C62" w:rsidP="00A00CBC">
            <w:pPr>
              <w:spacing w:after="0"/>
              <w:rPr>
                <w:i/>
                <w:sz w:val="22"/>
              </w:rPr>
            </w:pPr>
            <w:r w:rsidRPr="00713929">
              <w:rPr>
                <w:i/>
                <w:sz w:val="22"/>
              </w:rPr>
              <w:t xml:space="preserve">     Male</w:t>
            </w:r>
          </w:p>
        </w:tc>
        <w:tc>
          <w:tcPr>
            <w:tcW w:w="1890" w:type="dxa"/>
            <w:tcBorders>
              <w:top w:val="nil"/>
              <w:left w:val="single" w:sz="4" w:space="0" w:color="auto"/>
              <w:bottom w:val="nil"/>
              <w:right w:val="nil"/>
            </w:tcBorders>
            <w:vAlign w:val="center"/>
          </w:tcPr>
          <w:p w14:paraId="42C77C66"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48.94%</w:t>
            </w:r>
          </w:p>
        </w:tc>
        <w:tc>
          <w:tcPr>
            <w:tcW w:w="900" w:type="dxa"/>
            <w:tcBorders>
              <w:top w:val="nil"/>
              <w:left w:val="nil"/>
              <w:bottom w:val="nil"/>
              <w:right w:val="nil"/>
            </w:tcBorders>
            <w:vAlign w:val="center"/>
          </w:tcPr>
          <w:p w14:paraId="79FC2693"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960C738"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48.89%</w:t>
            </w:r>
          </w:p>
        </w:tc>
        <w:tc>
          <w:tcPr>
            <w:tcW w:w="360" w:type="dxa"/>
            <w:tcBorders>
              <w:top w:val="nil"/>
              <w:left w:val="nil"/>
              <w:bottom w:val="nil"/>
              <w:right w:val="nil"/>
            </w:tcBorders>
            <w:vAlign w:val="center"/>
          </w:tcPr>
          <w:p w14:paraId="70C785E2"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31682770"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-0.05</w:t>
            </w:r>
          </w:p>
        </w:tc>
        <w:tc>
          <w:tcPr>
            <w:tcW w:w="450" w:type="dxa"/>
            <w:tcBorders>
              <w:top w:val="nil"/>
              <w:left w:val="nil"/>
              <w:bottom w:val="nil"/>
              <w:right w:val="nil"/>
            </w:tcBorders>
          </w:tcPr>
          <w:p w14:paraId="03BDC2BE"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061CDD6F" w14:textId="77777777" w:rsidTr="00A00CBC">
        <w:trPr>
          <w:trHeight w:val="274"/>
        </w:trPr>
        <w:tc>
          <w:tcPr>
            <w:tcW w:w="3780" w:type="dxa"/>
            <w:tcBorders>
              <w:top w:val="nil"/>
              <w:left w:val="nil"/>
              <w:bottom w:val="nil"/>
              <w:right w:val="single" w:sz="4" w:space="0" w:color="auto"/>
            </w:tcBorders>
          </w:tcPr>
          <w:p w14:paraId="59B5069D" w14:textId="77777777" w:rsidR="00981C62" w:rsidRPr="00713929" w:rsidRDefault="00981C62" w:rsidP="00A00CBC">
            <w:pPr>
              <w:spacing w:after="0"/>
              <w:rPr>
                <w:sz w:val="22"/>
              </w:rPr>
            </w:pPr>
            <w:r w:rsidRPr="00713929">
              <w:rPr>
                <w:sz w:val="22"/>
              </w:rPr>
              <w:t>Race/Ethnicity</w:t>
            </w:r>
          </w:p>
        </w:tc>
        <w:tc>
          <w:tcPr>
            <w:tcW w:w="1890" w:type="dxa"/>
            <w:tcBorders>
              <w:top w:val="nil"/>
              <w:left w:val="single" w:sz="4" w:space="0" w:color="auto"/>
              <w:bottom w:val="nil"/>
              <w:right w:val="nil"/>
            </w:tcBorders>
            <w:vAlign w:val="center"/>
          </w:tcPr>
          <w:p w14:paraId="10CB9A0B" w14:textId="77777777" w:rsidR="00981C62" w:rsidRPr="008A2861" w:rsidRDefault="00981C62" w:rsidP="00A00CBC">
            <w:pPr>
              <w:spacing w:after="0"/>
              <w:jc w:val="right"/>
              <w:rPr>
                <w:rFonts w:eastAsia="Times New Roman"/>
                <w:sz w:val="22"/>
                <w:szCs w:val="22"/>
              </w:rPr>
            </w:pPr>
          </w:p>
        </w:tc>
        <w:tc>
          <w:tcPr>
            <w:tcW w:w="900" w:type="dxa"/>
            <w:tcBorders>
              <w:top w:val="nil"/>
              <w:left w:val="nil"/>
              <w:bottom w:val="nil"/>
              <w:right w:val="nil"/>
            </w:tcBorders>
            <w:vAlign w:val="center"/>
          </w:tcPr>
          <w:p w14:paraId="6DE145C6"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763EBC74" w14:textId="77777777" w:rsidR="00981C62" w:rsidRPr="008A2861" w:rsidRDefault="00981C62" w:rsidP="00A00CBC">
            <w:pPr>
              <w:spacing w:after="0"/>
              <w:jc w:val="right"/>
              <w:rPr>
                <w:rFonts w:eastAsia="Times New Roman"/>
                <w:sz w:val="22"/>
                <w:szCs w:val="22"/>
              </w:rPr>
            </w:pPr>
          </w:p>
        </w:tc>
        <w:tc>
          <w:tcPr>
            <w:tcW w:w="360" w:type="dxa"/>
            <w:tcBorders>
              <w:top w:val="nil"/>
              <w:left w:val="nil"/>
              <w:bottom w:val="nil"/>
              <w:right w:val="nil"/>
            </w:tcBorders>
            <w:vAlign w:val="center"/>
          </w:tcPr>
          <w:p w14:paraId="5FD0B456"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64A32D5E" w14:textId="77777777" w:rsidR="00981C62" w:rsidRPr="008A2861" w:rsidRDefault="00981C62" w:rsidP="00A00CBC">
            <w:pPr>
              <w:spacing w:after="0"/>
              <w:jc w:val="right"/>
              <w:rPr>
                <w:rFonts w:eastAsia="Times New Roman"/>
                <w:sz w:val="22"/>
                <w:szCs w:val="22"/>
              </w:rPr>
            </w:pPr>
          </w:p>
        </w:tc>
        <w:tc>
          <w:tcPr>
            <w:tcW w:w="450" w:type="dxa"/>
            <w:tcBorders>
              <w:top w:val="nil"/>
              <w:left w:val="nil"/>
              <w:bottom w:val="nil"/>
              <w:right w:val="nil"/>
            </w:tcBorders>
          </w:tcPr>
          <w:p w14:paraId="63105F17" w14:textId="77777777" w:rsidR="00981C62" w:rsidRPr="00C31853" w:rsidRDefault="00981C62" w:rsidP="00A00CBC">
            <w:pPr>
              <w:spacing w:after="0"/>
              <w:jc w:val="center"/>
              <w:rPr>
                <w:rFonts w:eastAsia="Times New Roman"/>
                <w:sz w:val="22"/>
              </w:rPr>
            </w:pPr>
          </w:p>
        </w:tc>
      </w:tr>
      <w:tr w:rsidR="00981C62" w:rsidRPr="00D47DDD" w14:paraId="4052B054" w14:textId="77777777" w:rsidTr="00A00CBC">
        <w:trPr>
          <w:trHeight w:val="274"/>
        </w:trPr>
        <w:tc>
          <w:tcPr>
            <w:tcW w:w="3780" w:type="dxa"/>
            <w:tcBorders>
              <w:top w:val="nil"/>
              <w:left w:val="nil"/>
              <w:bottom w:val="nil"/>
              <w:right w:val="single" w:sz="4" w:space="0" w:color="auto"/>
            </w:tcBorders>
          </w:tcPr>
          <w:p w14:paraId="1C67AA44" w14:textId="77777777" w:rsidR="00981C62" w:rsidRPr="00713929" w:rsidRDefault="00981C62" w:rsidP="00A00CBC">
            <w:pPr>
              <w:spacing w:after="0"/>
              <w:rPr>
                <w:i/>
                <w:color w:val="FFFFFF" w:themeColor="background1"/>
                <w:sz w:val="22"/>
              </w:rPr>
            </w:pPr>
            <w:r w:rsidRPr="00713929">
              <w:rPr>
                <w:i/>
                <w:sz w:val="22"/>
              </w:rPr>
              <w:t xml:space="preserve">     White</w:t>
            </w:r>
          </w:p>
        </w:tc>
        <w:tc>
          <w:tcPr>
            <w:tcW w:w="1890" w:type="dxa"/>
            <w:tcBorders>
              <w:top w:val="nil"/>
              <w:left w:val="single" w:sz="4" w:space="0" w:color="auto"/>
              <w:bottom w:val="nil"/>
              <w:right w:val="nil"/>
            </w:tcBorders>
            <w:vAlign w:val="center"/>
          </w:tcPr>
          <w:p w14:paraId="4FFBBC5B"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55.38%</w:t>
            </w:r>
          </w:p>
        </w:tc>
        <w:tc>
          <w:tcPr>
            <w:tcW w:w="900" w:type="dxa"/>
            <w:tcBorders>
              <w:top w:val="nil"/>
              <w:left w:val="nil"/>
              <w:bottom w:val="nil"/>
              <w:right w:val="nil"/>
            </w:tcBorders>
            <w:vAlign w:val="center"/>
          </w:tcPr>
          <w:p w14:paraId="0775DE1B"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4FD66CA0"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55.94%</w:t>
            </w:r>
          </w:p>
        </w:tc>
        <w:tc>
          <w:tcPr>
            <w:tcW w:w="360" w:type="dxa"/>
            <w:tcBorders>
              <w:top w:val="nil"/>
              <w:left w:val="nil"/>
              <w:bottom w:val="nil"/>
              <w:right w:val="nil"/>
            </w:tcBorders>
            <w:vAlign w:val="center"/>
          </w:tcPr>
          <w:p w14:paraId="70122684"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035C817B"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0.56</w:t>
            </w:r>
          </w:p>
        </w:tc>
        <w:tc>
          <w:tcPr>
            <w:tcW w:w="450" w:type="dxa"/>
            <w:tcBorders>
              <w:top w:val="nil"/>
              <w:left w:val="nil"/>
              <w:bottom w:val="nil"/>
              <w:right w:val="nil"/>
            </w:tcBorders>
          </w:tcPr>
          <w:p w14:paraId="0EDFF1FA"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4064B006" w14:textId="77777777" w:rsidTr="00A00CBC">
        <w:trPr>
          <w:trHeight w:val="274"/>
        </w:trPr>
        <w:tc>
          <w:tcPr>
            <w:tcW w:w="3780" w:type="dxa"/>
            <w:tcBorders>
              <w:top w:val="nil"/>
              <w:left w:val="nil"/>
              <w:bottom w:val="nil"/>
              <w:right w:val="single" w:sz="4" w:space="0" w:color="auto"/>
            </w:tcBorders>
          </w:tcPr>
          <w:p w14:paraId="3F435C4F" w14:textId="77777777" w:rsidR="00981C62" w:rsidRPr="00713929" w:rsidRDefault="00981C62" w:rsidP="00A00CBC">
            <w:pPr>
              <w:spacing w:after="0"/>
              <w:rPr>
                <w:i/>
                <w:sz w:val="22"/>
              </w:rPr>
            </w:pPr>
            <w:r w:rsidRPr="00713929">
              <w:rPr>
                <w:i/>
                <w:sz w:val="22"/>
              </w:rPr>
              <w:t xml:space="preserve">     Hispanic</w:t>
            </w:r>
            <w:r>
              <w:rPr>
                <w:i/>
                <w:sz w:val="22"/>
              </w:rPr>
              <w:t xml:space="preserve"> or Latino</w:t>
            </w:r>
          </w:p>
        </w:tc>
        <w:tc>
          <w:tcPr>
            <w:tcW w:w="1890" w:type="dxa"/>
            <w:tcBorders>
              <w:top w:val="nil"/>
              <w:left w:val="single" w:sz="4" w:space="0" w:color="auto"/>
              <w:bottom w:val="nil"/>
              <w:right w:val="nil"/>
            </w:tcBorders>
            <w:vAlign w:val="center"/>
          </w:tcPr>
          <w:p w14:paraId="16391BB8"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27.09%</w:t>
            </w:r>
          </w:p>
        </w:tc>
        <w:tc>
          <w:tcPr>
            <w:tcW w:w="900" w:type="dxa"/>
            <w:tcBorders>
              <w:top w:val="nil"/>
              <w:left w:val="nil"/>
              <w:bottom w:val="nil"/>
              <w:right w:val="nil"/>
            </w:tcBorders>
            <w:vAlign w:val="center"/>
          </w:tcPr>
          <w:p w14:paraId="27E90D3B"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32AD4A6E"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26.49%</w:t>
            </w:r>
          </w:p>
        </w:tc>
        <w:tc>
          <w:tcPr>
            <w:tcW w:w="360" w:type="dxa"/>
            <w:tcBorders>
              <w:top w:val="nil"/>
              <w:left w:val="nil"/>
              <w:bottom w:val="nil"/>
              <w:right w:val="nil"/>
            </w:tcBorders>
            <w:vAlign w:val="center"/>
          </w:tcPr>
          <w:p w14:paraId="3D0D2811"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3CC6E04E"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-0.60</w:t>
            </w:r>
          </w:p>
        </w:tc>
        <w:tc>
          <w:tcPr>
            <w:tcW w:w="450" w:type="dxa"/>
            <w:tcBorders>
              <w:top w:val="nil"/>
              <w:left w:val="nil"/>
              <w:bottom w:val="nil"/>
              <w:right w:val="nil"/>
            </w:tcBorders>
          </w:tcPr>
          <w:p w14:paraId="3497D8CB"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46D4165A" w14:textId="77777777" w:rsidTr="00A00CBC">
        <w:trPr>
          <w:trHeight w:val="274"/>
        </w:trPr>
        <w:tc>
          <w:tcPr>
            <w:tcW w:w="3780" w:type="dxa"/>
            <w:tcBorders>
              <w:top w:val="nil"/>
              <w:left w:val="nil"/>
              <w:bottom w:val="nil"/>
              <w:right w:val="single" w:sz="4" w:space="0" w:color="auto"/>
            </w:tcBorders>
          </w:tcPr>
          <w:p w14:paraId="71C1AC92" w14:textId="77777777" w:rsidR="00981C62" w:rsidRPr="00713929" w:rsidRDefault="00981C62" w:rsidP="00A00CBC">
            <w:pPr>
              <w:spacing w:after="0"/>
              <w:rPr>
                <w:i/>
                <w:sz w:val="22"/>
              </w:rPr>
            </w:pPr>
            <w:r w:rsidRPr="00713929">
              <w:rPr>
                <w:i/>
                <w:sz w:val="22"/>
              </w:rPr>
              <w:t xml:space="preserve">     Black</w:t>
            </w:r>
            <w:r>
              <w:rPr>
                <w:i/>
                <w:sz w:val="22"/>
              </w:rPr>
              <w:t xml:space="preserve"> or African American</w:t>
            </w:r>
          </w:p>
        </w:tc>
        <w:tc>
          <w:tcPr>
            <w:tcW w:w="1890" w:type="dxa"/>
            <w:tcBorders>
              <w:top w:val="nil"/>
              <w:left w:val="single" w:sz="4" w:space="0" w:color="auto"/>
              <w:bottom w:val="nil"/>
              <w:right w:val="nil"/>
            </w:tcBorders>
            <w:vAlign w:val="center"/>
          </w:tcPr>
          <w:p w14:paraId="2E064770"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15.29%</w:t>
            </w:r>
          </w:p>
        </w:tc>
        <w:tc>
          <w:tcPr>
            <w:tcW w:w="900" w:type="dxa"/>
            <w:tcBorders>
              <w:top w:val="nil"/>
              <w:left w:val="nil"/>
              <w:bottom w:val="nil"/>
              <w:right w:val="nil"/>
            </w:tcBorders>
            <w:vAlign w:val="center"/>
          </w:tcPr>
          <w:p w14:paraId="41EF6AD4"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18E22A60"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16.12%</w:t>
            </w:r>
          </w:p>
        </w:tc>
        <w:tc>
          <w:tcPr>
            <w:tcW w:w="360" w:type="dxa"/>
            <w:tcBorders>
              <w:top w:val="nil"/>
              <w:left w:val="nil"/>
              <w:bottom w:val="nil"/>
              <w:right w:val="nil"/>
            </w:tcBorders>
            <w:vAlign w:val="center"/>
          </w:tcPr>
          <w:p w14:paraId="378052CF"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50F58FF0"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0.84</w:t>
            </w:r>
          </w:p>
        </w:tc>
        <w:tc>
          <w:tcPr>
            <w:tcW w:w="450" w:type="dxa"/>
            <w:tcBorders>
              <w:top w:val="nil"/>
              <w:left w:val="nil"/>
              <w:bottom w:val="nil"/>
              <w:right w:val="nil"/>
            </w:tcBorders>
          </w:tcPr>
          <w:p w14:paraId="779FC1A0"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1558D619" w14:textId="77777777" w:rsidTr="00A00CBC">
        <w:trPr>
          <w:trHeight w:val="274"/>
        </w:trPr>
        <w:tc>
          <w:tcPr>
            <w:tcW w:w="3780" w:type="dxa"/>
            <w:tcBorders>
              <w:top w:val="nil"/>
              <w:left w:val="nil"/>
              <w:bottom w:val="nil"/>
              <w:right w:val="single" w:sz="4" w:space="0" w:color="auto"/>
            </w:tcBorders>
          </w:tcPr>
          <w:p w14:paraId="516A6505" w14:textId="77777777" w:rsidR="00981C62" w:rsidRPr="00713929" w:rsidRDefault="00981C62" w:rsidP="00A00CBC">
            <w:pPr>
              <w:spacing w:after="0"/>
              <w:rPr>
                <w:i/>
                <w:sz w:val="22"/>
              </w:rPr>
            </w:pPr>
            <w:r w:rsidRPr="00713929">
              <w:rPr>
                <w:i/>
                <w:sz w:val="22"/>
              </w:rPr>
              <w:t xml:space="preserve">     Asian</w:t>
            </w:r>
          </w:p>
        </w:tc>
        <w:tc>
          <w:tcPr>
            <w:tcW w:w="1890" w:type="dxa"/>
            <w:tcBorders>
              <w:top w:val="nil"/>
              <w:left w:val="single" w:sz="4" w:space="0" w:color="auto"/>
              <w:bottom w:val="nil"/>
              <w:right w:val="nil"/>
            </w:tcBorders>
            <w:vAlign w:val="center"/>
          </w:tcPr>
          <w:p w14:paraId="79B240FD"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2.96%</w:t>
            </w:r>
          </w:p>
        </w:tc>
        <w:tc>
          <w:tcPr>
            <w:tcW w:w="900" w:type="dxa"/>
            <w:tcBorders>
              <w:top w:val="nil"/>
              <w:left w:val="nil"/>
              <w:bottom w:val="nil"/>
              <w:right w:val="nil"/>
            </w:tcBorders>
            <w:vAlign w:val="center"/>
          </w:tcPr>
          <w:p w14:paraId="46741163"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DCBD6F5"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3.03%</w:t>
            </w:r>
          </w:p>
        </w:tc>
        <w:tc>
          <w:tcPr>
            <w:tcW w:w="360" w:type="dxa"/>
            <w:tcBorders>
              <w:top w:val="nil"/>
              <w:left w:val="nil"/>
              <w:bottom w:val="nil"/>
              <w:right w:val="nil"/>
            </w:tcBorders>
            <w:vAlign w:val="center"/>
          </w:tcPr>
          <w:p w14:paraId="40026698"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3726BD25"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0.07</w:t>
            </w:r>
          </w:p>
        </w:tc>
        <w:tc>
          <w:tcPr>
            <w:tcW w:w="450" w:type="dxa"/>
            <w:tcBorders>
              <w:top w:val="nil"/>
              <w:left w:val="nil"/>
              <w:bottom w:val="nil"/>
              <w:right w:val="nil"/>
            </w:tcBorders>
          </w:tcPr>
          <w:p w14:paraId="64330BCE"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2749B225" w14:textId="77777777" w:rsidTr="00A00CBC">
        <w:trPr>
          <w:trHeight w:val="274"/>
        </w:trPr>
        <w:tc>
          <w:tcPr>
            <w:tcW w:w="3780" w:type="dxa"/>
            <w:tcBorders>
              <w:top w:val="nil"/>
              <w:left w:val="nil"/>
              <w:bottom w:val="nil"/>
              <w:right w:val="single" w:sz="4" w:space="0" w:color="auto"/>
            </w:tcBorders>
          </w:tcPr>
          <w:p w14:paraId="0C1A4504" w14:textId="77777777" w:rsidR="00981C62" w:rsidRPr="00713929" w:rsidRDefault="00981C62" w:rsidP="00A00CBC">
            <w:pPr>
              <w:spacing w:after="0"/>
              <w:rPr>
                <w:i/>
                <w:sz w:val="22"/>
              </w:rPr>
            </w:pPr>
            <w:r w:rsidRPr="00713929">
              <w:rPr>
                <w:i/>
                <w:sz w:val="22"/>
              </w:rPr>
              <w:t xml:space="preserve">     American Indian</w:t>
            </w:r>
            <w:r>
              <w:rPr>
                <w:i/>
                <w:sz w:val="22"/>
              </w:rPr>
              <w:t xml:space="preserve"> or Alaska Native</w:t>
            </w:r>
          </w:p>
        </w:tc>
        <w:tc>
          <w:tcPr>
            <w:tcW w:w="1890" w:type="dxa"/>
            <w:tcBorders>
              <w:top w:val="nil"/>
              <w:left w:val="single" w:sz="4" w:space="0" w:color="auto"/>
              <w:bottom w:val="nil"/>
              <w:right w:val="nil"/>
            </w:tcBorders>
            <w:vAlign w:val="center"/>
          </w:tcPr>
          <w:p w14:paraId="66D66C50"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0.52%</w:t>
            </w:r>
          </w:p>
        </w:tc>
        <w:tc>
          <w:tcPr>
            <w:tcW w:w="900" w:type="dxa"/>
            <w:tcBorders>
              <w:top w:val="nil"/>
              <w:left w:val="nil"/>
              <w:bottom w:val="nil"/>
              <w:right w:val="nil"/>
            </w:tcBorders>
            <w:vAlign w:val="center"/>
          </w:tcPr>
          <w:p w14:paraId="4B062C4D"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46DE6DC0"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0.52%</w:t>
            </w:r>
          </w:p>
        </w:tc>
        <w:tc>
          <w:tcPr>
            <w:tcW w:w="360" w:type="dxa"/>
            <w:tcBorders>
              <w:top w:val="nil"/>
              <w:left w:val="nil"/>
              <w:bottom w:val="nil"/>
              <w:right w:val="nil"/>
            </w:tcBorders>
            <w:vAlign w:val="center"/>
          </w:tcPr>
          <w:p w14:paraId="5E25282E"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528346D9" w14:textId="77777777"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0.00</w:t>
            </w:r>
          </w:p>
        </w:tc>
        <w:tc>
          <w:tcPr>
            <w:tcW w:w="450" w:type="dxa"/>
            <w:tcBorders>
              <w:top w:val="nil"/>
              <w:left w:val="nil"/>
              <w:bottom w:val="nil"/>
              <w:right w:val="nil"/>
            </w:tcBorders>
          </w:tcPr>
          <w:p w14:paraId="1141E061"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1BF875B2" w14:textId="77777777" w:rsidTr="00A00CBC">
        <w:trPr>
          <w:trHeight w:val="274"/>
        </w:trPr>
        <w:tc>
          <w:tcPr>
            <w:tcW w:w="3780" w:type="dxa"/>
            <w:tcBorders>
              <w:top w:val="nil"/>
              <w:left w:val="nil"/>
              <w:bottom w:val="nil"/>
              <w:right w:val="single" w:sz="4" w:space="0" w:color="auto"/>
            </w:tcBorders>
          </w:tcPr>
          <w:p w14:paraId="5144052A" w14:textId="77777777" w:rsidR="00981C62" w:rsidRDefault="00981C62" w:rsidP="00A00CBC">
            <w:pPr>
              <w:spacing w:after="0"/>
              <w:rPr>
                <w:sz w:val="22"/>
              </w:rPr>
            </w:pPr>
            <w:r>
              <w:rPr>
                <w:sz w:val="22"/>
              </w:rPr>
              <w:t>Age</w:t>
            </w:r>
          </w:p>
        </w:tc>
        <w:tc>
          <w:tcPr>
            <w:tcW w:w="1890" w:type="dxa"/>
            <w:tcBorders>
              <w:top w:val="nil"/>
              <w:left w:val="single" w:sz="4" w:space="0" w:color="auto"/>
              <w:bottom w:val="nil"/>
              <w:right w:val="nil"/>
            </w:tcBorders>
            <w:vAlign w:val="center"/>
          </w:tcPr>
          <w:p w14:paraId="3987004A" w14:textId="77777777" w:rsidR="00981C62" w:rsidRPr="008A2861" w:rsidRDefault="00981C62" w:rsidP="00A00CBC">
            <w:pPr>
              <w:spacing w:after="0"/>
              <w:jc w:val="right"/>
              <w:rPr>
                <w:rFonts w:eastAsia="Times New Roman"/>
                <w:sz w:val="22"/>
                <w:szCs w:val="22"/>
              </w:rPr>
            </w:pPr>
          </w:p>
        </w:tc>
        <w:tc>
          <w:tcPr>
            <w:tcW w:w="900" w:type="dxa"/>
            <w:tcBorders>
              <w:top w:val="nil"/>
              <w:left w:val="nil"/>
              <w:bottom w:val="nil"/>
              <w:right w:val="nil"/>
            </w:tcBorders>
            <w:vAlign w:val="center"/>
          </w:tcPr>
          <w:p w14:paraId="0B22DD2B"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38B7CA2" w14:textId="77777777" w:rsidR="00981C62" w:rsidRPr="008A2861" w:rsidRDefault="00981C62" w:rsidP="00A00CBC">
            <w:pPr>
              <w:spacing w:after="0"/>
              <w:jc w:val="right"/>
              <w:rPr>
                <w:rFonts w:eastAsia="Times New Roman"/>
                <w:sz w:val="22"/>
                <w:szCs w:val="22"/>
              </w:rPr>
            </w:pPr>
          </w:p>
        </w:tc>
        <w:tc>
          <w:tcPr>
            <w:tcW w:w="360" w:type="dxa"/>
            <w:tcBorders>
              <w:top w:val="nil"/>
              <w:left w:val="nil"/>
              <w:bottom w:val="nil"/>
              <w:right w:val="nil"/>
            </w:tcBorders>
            <w:vAlign w:val="center"/>
          </w:tcPr>
          <w:p w14:paraId="29392DAB"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1199B24B" w14:textId="77777777" w:rsidR="00981C62" w:rsidRPr="008A2861" w:rsidRDefault="00981C62" w:rsidP="00A00CBC">
            <w:pPr>
              <w:spacing w:after="0"/>
              <w:jc w:val="right"/>
              <w:rPr>
                <w:rFonts w:eastAsia="Times New Roman"/>
                <w:sz w:val="22"/>
                <w:szCs w:val="22"/>
              </w:rPr>
            </w:pPr>
          </w:p>
        </w:tc>
        <w:tc>
          <w:tcPr>
            <w:tcW w:w="450" w:type="dxa"/>
            <w:tcBorders>
              <w:top w:val="nil"/>
              <w:left w:val="nil"/>
              <w:bottom w:val="nil"/>
              <w:right w:val="nil"/>
            </w:tcBorders>
          </w:tcPr>
          <w:p w14:paraId="5059B16D" w14:textId="77777777" w:rsidR="00981C62" w:rsidRPr="00C31853" w:rsidRDefault="00981C62" w:rsidP="00A00CBC">
            <w:pPr>
              <w:spacing w:after="0"/>
              <w:jc w:val="center"/>
              <w:rPr>
                <w:rFonts w:eastAsia="Times New Roman"/>
                <w:sz w:val="22"/>
              </w:rPr>
            </w:pPr>
          </w:p>
        </w:tc>
      </w:tr>
      <w:tr w:rsidR="00981C62" w:rsidRPr="00D47DDD" w14:paraId="651AEB61" w14:textId="77777777" w:rsidTr="00A00CBC">
        <w:trPr>
          <w:trHeight w:val="274"/>
        </w:trPr>
        <w:tc>
          <w:tcPr>
            <w:tcW w:w="3780" w:type="dxa"/>
            <w:tcBorders>
              <w:top w:val="nil"/>
              <w:left w:val="nil"/>
              <w:bottom w:val="nil"/>
              <w:right w:val="single" w:sz="4" w:space="0" w:color="auto"/>
            </w:tcBorders>
          </w:tcPr>
          <w:p w14:paraId="25C7F200" w14:textId="3D3639A9" w:rsidR="00981C62" w:rsidRPr="00DE76E5" w:rsidRDefault="00981C62" w:rsidP="00A00CBC">
            <w:pPr>
              <w:spacing w:after="0"/>
              <w:rPr>
                <w:i/>
                <w:sz w:val="22"/>
              </w:rPr>
            </w:pPr>
            <w:r w:rsidRPr="00DE76E5">
              <w:rPr>
                <w:i/>
                <w:sz w:val="22"/>
              </w:rPr>
              <w:t xml:space="preserve">     10</w:t>
            </w:r>
            <w:r w:rsidR="00872800">
              <w:rPr>
                <w:i/>
                <w:sz w:val="22"/>
              </w:rPr>
              <w:t>–</w:t>
            </w:r>
            <w:r w:rsidRPr="00DE76E5">
              <w:rPr>
                <w:i/>
                <w:sz w:val="22"/>
              </w:rPr>
              <w:t>14</w:t>
            </w:r>
          </w:p>
        </w:tc>
        <w:tc>
          <w:tcPr>
            <w:tcW w:w="1890" w:type="dxa"/>
            <w:tcBorders>
              <w:top w:val="nil"/>
              <w:left w:val="single" w:sz="4" w:space="0" w:color="auto"/>
              <w:bottom w:val="nil"/>
              <w:right w:val="nil"/>
            </w:tcBorders>
            <w:vAlign w:val="center"/>
          </w:tcPr>
          <w:p w14:paraId="029BB6A8" w14:textId="77777777" w:rsidR="00981C62" w:rsidRPr="008A2861" w:rsidRDefault="00981C62" w:rsidP="00A00CBC">
            <w:pPr>
              <w:spacing w:after="0"/>
              <w:jc w:val="right"/>
              <w:rPr>
                <w:rFonts w:eastAsia="Times New Roman"/>
                <w:sz w:val="22"/>
                <w:szCs w:val="22"/>
              </w:rPr>
            </w:pPr>
            <w:r w:rsidRPr="008A2861">
              <w:rPr>
                <w:color w:val="000000"/>
                <w:sz w:val="22"/>
                <w:szCs w:val="22"/>
              </w:rPr>
              <w:t>6.45%</w:t>
            </w:r>
          </w:p>
        </w:tc>
        <w:tc>
          <w:tcPr>
            <w:tcW w:w="900" w:type="dxa"/>
            <w:tcBorders>
              <w:top w:val="nil"/>
              <w:left w:val="nil"/>
              <w:bottom w:val="nil"/>
              <w:right w:val="nil"/>
            </w:tcBorders>
            <w:vAlign w:val="center"/>
          </w:tcPr>
          <w:p w14:paraId="2ABAF78A"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1B73EED" w14:textId="77777777" w:rsidR="00981C62" w:rsidRPr="008A2861" w:rsidRDefault="00981C62" w:rsidP="00A00CBC">
            <w:pPr>
              <w:spacing w:after="0"/>
              <w:jc w:val="right"/>
              <w:rPr>
                <w:rFonts w:eastAsia="Times New Roman"/>
                <w:sz w:val="22"/>
                <w:szCs w:val="22"/>
              </w:rPr>
            </w:pPr>
            <w:r w:rsidRPr="008A2861">
              <w:rPr>
                <w:color w:val="000000"/>
                <w:sz w:val="22"/>
                <w:szCs w:val="22"/>
              </w:rPr>
              <w:t>6.43%</w:t>
            </w:r>
          </w:p>
        </w:tc>
        <w:tc>
          <w:tcPr>
            <w:tcW w:w="360" w:type="dxa"/>
            <w:tcBorders>
              <w:top w:val="nil"/>
              <w:left w:val="nil"/>
              <w:bottom w:val="nil"/>
              <w:right w:val="nil"/>
            </w:tcBorders>
            <w:vAlign w:val="center"/>
          </w:tcPr>
          <w:p w14:paraId="4DF5FA1D"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70891994" w14:textId="77777777" w:rsidR="00981C62" w:rsidRPr="008A2861" w:rsidRDefault="00981C62" w:rsidP="00A00CBC">
            <w:pPr>
              <w:spacing w:after="0"/>
              <w:jc w:val="right"/>
              <w:rPr>
                <w:rFonts w:eastAsia="Times New Roman"/>
                <w:sz w:val="22"/>
                <w:szCs w:val="22"/>
              </w:rPr>
            </w:pPr>
            <w:r w:rsidRPr="008A2861">
              <w:rPr>
                <w:color w:val="000000"/>
                <w:sz w:val="22"/>
                <w:szCs w:val="22"/>
              </w:rPr>
              <w:t>-0.02</w:t>
            </w:r>
          </w:p>
        </w:tc>
        <w:tc>
          <w:tcPr>
            <w:tcW w:w="450" w:type="dxa"/>
            <w:tcBorders>
              <w:top w:val="nil"/>
              <w:left w:val="nil"/>
              <w:bottom w:val="nil"/>
              <w:right w:val="nil"/>
            </w:tcBorders>
            <w:vAlign w:val="bottom"/>
          </w:tcPr>
          <w:p w14:paraId="56A723F2" w14:textId="77777777" w:rsidR="00981C62" w:rsidRPr="00C31853" w:rsidRDefault="00981C62" w:rsidP="00A00CBC">
            <w:pPr>
              <w:spacing w:after="0"/>
              <w:jc w:val="center"/>
              <w:rPr>
                <w:rFonts w:eastAsia="Times New Roman"/>
                <w:sz w:val="22"/>
              </w:rPr>
            </w:pPr>
          </w:p>
        </w:tc>
      </w:tr>
      <w:tr w:rsidR="00981C62" w:rsidRPr="00D47DDD" w14:paraId="3B1D80C0" w14:textId="77777777" w:rsidTr="00A00CBC">
        <w:trPr>
          <w:trHeight w:val="274"/>
        </w:trPr>
        <w:tc>
          <w:tcPr>
            <w:tcW w:w="3780" w:type="dxa"/>
            <w:tcBorders>
              <w:top w:val="nil"/>
              <w:left w:val="nil"/>
              <w:bottom w:val="nil"/>
              <w:right w:val="single" w:sz="4" w:space="0" w:color="auto"/>
            </w:tcBorders>
          </w:tcPr>
          <w:p w14:paraId="54C4DABA" w14:textId="4F5C421C" w:rsidR="00981C62" w:rsidRPr="00DE76E5" w:rsidRDefault="00981C62" w:rsidP="00A00CBC">
            <w:pPr>
              <w:spacing w:after="0"/>
              <w:rPr>
                <w:i/>
                <w:sz w:val="22"/>
              </w:rPr>
            </w:pPr>
            <w:r w:rsidRPr="00DE76E5">
              <w:rPr>
                <w:i/>
                <w:sz w:val="22"/>
              </w:rPr>
              <w:t xml:space="preserve">     15</w:t>
            </w:r>
            <w:r w:rsidR="00872800">
              <w:rPr>
                <w:i/>
                <w:sz w:val="22"/>
              </w:rPr>
              <w:t>–</w:t>
            </w:r>
            <w:r w:rsidRPr="00DE76E5">
              <w:rPr>
                <w:i/>
                <w:sz w:val="22"/>
              </w:rPr>
              <w:t>24</w:t>
            </w:r>
          </w:p>
        </w:tc>
        <w:tc>
          <w:tcPr>
            <w:tcW w:w="1890" w:type="dxa"/>
            <w:tcBorders>
              <w:top w:val="nil"/>
              <w:left w:val="single" w:sz="4" w:space="0" w:color="auto"/>
              <w:bottom w:val="nil"/>
              <w:right w:val="nil"/>
            </w:tcBorders>
            <w:vAlign w:val="center"/>
          </w:tcPr>
          <w:p w14:paraId="1F080064" w14:textId="77777777" w:rsidR="00981C62" w:rsidRPr="008A2861" w:rsidRDefault="00981C62" w:rsidP="00A00CBC">
            <w:pPr>
              <w:spacing w:after="0"/>
              <w:jc w:val="right"/>
              <w:rPr>
                <w:rFonts w:eastAsia="Times New Roman"/>
                <w:sz w:val="22"/>
                <w:szCs w:val="22"/>
              </w:rPr>
            </w:pPr>
            <w:r w:rsidRPr="008A2861">
              <w:rPr>
                <w:color w:val="000000"/>
                <w:sz w:val="22"/>
                <w:szCs w:val="22"/>
              </w:rPr>
              <w:t>14.11%</w:t>
            </w:r>
          </w:p>
        </w:tc>
        <w:tc>
          <w:tcPr>
            <w:tcW w:w="900" w:type="dxa"/>
            <w:tcBorders>
              <w:top w:val="nil"/>
              <w:left w:val="nil"/>
              <w:bottom w:val="nil"/>
              <w:right w:val="nil"/>
            </w:tcBorders>
            <w:vAlign w:val="center"/>
          </w:tcPr>
          <w:p w14:paraId="1103C89C"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933B8B3" w14:textId="77777777" w:rsidR="00981C62" w:rsidRPr="008A2861" w:rsidRDefault="00981C62" w:rsidP="00A00CBC">
            <w:pPr>
              <w:spacing w:after="0"/>
              <w:jc w:val="right"/>
              <w:rPr>
                <w:rFonts w:eastAsia="Times New Roman"/>
                <w:sz w:val="22"/>
                <w:szCs w:val="22"/>
              </w:rPr>
            </w:pPr>
            <w:r w:rsidRPr="008A2861">
              <w:rPr>
                <w:color w:val="000000"/>
                <w:sz w:val="22"/>
                <w:szCs w:val="22"/>
              </w:rPr>
              <w:t>13.80%</w:t>
            </w:r>
          </w:p>
        </w:tc>
        <w:tc>
          <w:tcPr>
            <w:tcW w:w="360" w:type="dxa"/>
            <w:tcBorders>
              <w:top w:val="nil"/>
              <w:left w:val="nil"/>
              <w:bottom w:val="nil"/>
              <w:right w:val="nil"/>
            </w:tcBorders>
            <w:vAlign w:val="center"/>
          </w:tcPr>
          <w:p w14:paraId="3041956D"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5F0E4DBD" w14:textId="77777777" w:rsidR="00981C62" w:rsidRPr="008A2861" w:rsidRDefault="00981C62" w:rsidP="00A00CBC">
            <w:pPr>
              <w:spacing w:after="0"/>
              <w:jc w:val="right"/>
              <w:rPr>
                <w:rFonts w:eastAsia="Times New Roman"/>
                <w:sz w:val="22"/>
                <w:szCs w:val="22"/>
              </w:rPr>
            </w:pPr>
            <w:r w:rsidRPr="008A2861">
              <w:rPr>
                <w:color w:val="000000"/>
                <w:sz w:val="22"/>
                <w:szCs w:val="22"/>
              </w:rPr>
              <w:t>-0.31</w:t>
            </w:r>
          </w:p>
        </w:tc>
        <w:tc>
          <w:tcPr>
            <w:tcW w:w="450" w:type="dxa"/>
            <w:tcBorders>
              <w:top w:val="nil"/>
              <w:left w:val="nil"/>
              <w:bottom w:val="nil"/>
              <w:right w:val="nil"/>
            </w:tcBorders>
            <w:vAlign w:val="bottom"/>
          </w:tcPr>
          <w:p w14:paraId="42C92F04" w14:textId="77777777" w:rsidR="00981C62" w:rsidRPr="00C31853" w:rsidRDefault="00981C62" w:rsidP="00A00CBC">
            <w:pPr>
              <w:spacing w:after="0"/>
              <w:jc w:val="center"/>
              <w:rPr>
                <w:rFonts w:eastAsia="Times New Roman"/>
                <w:sz w:val="22"/>
              </w:rPr>
            </w:pPr>
          </w:p>
        </w:tc>
      </w:tr>
      <w:tr w:rsidR="00981C62" w:rsidRPr="00D47DDD" w14:paraId="078A5777" w14:textId="77777777" w:rsidTr="00A00CBC">
        <w:trPr>
          <w:trHeight w:val="274"/>
        </w:trPr>
        <w:tc>
          <w:tcPr>
            <w:tcW w:w="3780" w:type="dxa"/>
            <w:tcBorders>
              <w:top w:val="nil"/>
              <w:left w:val="nil"/>
              <w:bottom w:val="nil"/>
              <w:right w:val="single" w:sz="4" w:space="0" w:color="auto"/>
            </w:tcBorders>
          </w:tcPr>
          <w:p w14:paraId="75E1067C" w14:textId="247DB840" w:rsidR="00981C62" w:rsidRPr="00DE76E5" w:rsidRDefault="00981C62" w:rsidP="00A00CBC">
            <w:pPr>
              <w:spacing w:after="0"/>
              <w:rPr>
                <w:i/>
                <w:sz w:val="22"/>
              </w:rPr>
            </w:pPr>
            <w:r w:rsidRPr="00DE76E5">
              <w:rPr>
                <w:i/>
                <w:sz w:val="22"/>
              </w:rPr>
              <w:t xml:space="preserve">     25</w:t>
            </w:r>
            <w:r w:rsidR="00872800">
              <w:rPr>
                <w:i/>
                <w:sz w:val="22"/>
              </w:rPr>
              <w:t>–</w:t>
            </w:r>
            <w:r w:rsidRPr="00DE76E5">
              <w:rPr>
                <w:i/>
                <w:sz w:val="22"/>
              </w:rPr>
              <w:t>34</w:t>
            </w:r>
          </w:p>
        </w:tc>
        <w:tc>
          <w:tcPr>
            <w:tcW w:w="1890" w:type="dxa"/>
            <w:tcBorders>
              <w:top w:val="nil"/>
              <w:left w:val="single" w:sz="4" w:space="0" w:color="auto"/>
              <w:bottom w:val="nil"/>
              <w:right w:val="nil"/>
            </w:tcBorders>
            <w:vAlign w:val="center"/>
          </w:tcPr>
          <w:p w14:paraId="54C2C0DA" w14:textId="77777777" w:rsidR="00981C62" w:rsidRPr="008A2861" w:rsidRDefault="00981C62" w:rsidP="00A00CBC">
            <w:pPr>
              <w:spacing w:after="0"/>
              <w:jc w:val="right"/>
              <w:rPr>
                <w:rFonts w:eastAsia="Times New Roman"/>
                <w:sz w:val="22"/>
                <w:szCs w:val="22"/>
              </w:rPr>
            </w:pPr>
            <w:r w:rsidRPr="008A2861">
              <w:rPr>
                <w:color w:val="000000"/>
                <w:sz w:val="22"/>
                <w:szCs w:val="22"/>
              </w:rPr>
              <w:t>14.72%</w:t>
            </w:r>
          </w:p>
        </w:tc>
        <w:tc>
          <w:tcPr>
            <w:tcW w:w="900" w:type="dxa"/>
            <w:tcBorders>
              <w:top w:val="nil"/>
              <w:left w:val="nil"/>
              <w:bottom w:val="nil"/>
              <w:right w:val="nil"/>
            </w:tcBorders>
            <w:vAlign w:val="center"/>
          </w:tcPr>
          <w:p w14:paraId="4E6D4422"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0DBBD7E" w14:textId="77777777" w:rsidR="00981C62" w:rsidRPr="008A2861" w:rsidRDefault="00981C62" w:rsidP="00A00CBC">
            <w:pPr>
              <w:spacing w:after="0"/>
              <w:jc w:val="right"/>
              <w:rPr>
                <w:rFonts w:eastAsia="Times New Roman"/>
                <w:sz w:val="22"/>
                <w:szCs w:val="22"/>
              </w:rPr>
            </w:pPr>
            <w:r w:rsidRPr="008A2861">
              <w:rPr>
                <w:color w:val="000000"/>
                <w:sz w:val="22"/>
                <w:szCs w:val="22"/>
              </w:rPr>
              <w:t>14.42%</w:t>
            </w:r>
          </w:p>
        </w:tc>
        <w:tc>
          <w:tcPr>
            <w:tcW w:w="360" w:type="dxa"/>
            <w:tcBorders>
              <w:top w:val="nil"/>
              <w:left w:val="nil"/>
              <w:bottom w:val="nil"/>
              <w:right w:val="nil"/>
            </w:tcBorders>
            <w:vAlign w:val="center"/>
          </w:tcPr>
          <w:p w14:paraId="19016F41"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6715DA57" w14:textId="77777777" w:rsidR="00981C62" w:rsidRPr="008A2861" w:rsidRDefault="00981C62" w:rsidP="00A00CBC">
            <w:pPr>
              <w:spacing w:after="0"/>
              <w:jc w:val="right"/>
              <w:rPr>
                <w:rFonts w:eastAsia="Times New Roman"/>
                <w:sz w:val="22"/>
                <w:szCs w:val="22"/>
              </w:rPr>
            </w:pPr>
            <w:r w:rsidRPr="008A2861">
              <w:rPr>
                <w:color w:val="000000"/>
                <w:sz w:val="22"/>
                <w:szCs w:val="22"/>
              </w:rPr>
              <w:t>-0.30</w:t>
            </w:r>
          </w:p>
        </w:tc>
        <w:tc>
          <w:tcPr>
            <w:tcW w:w="450" w:type="dxa"/>
            <w:tcBorders>
              <w:top w:val="nil"/>
              <w:left w:val="nil"/>
              <w:bottom w:val="nil"/>
              <w:right w:val="nil"/>
            </w:tcBorders>
            <w:vAlign w:val="bottom"/>
          </w:tcPr>
          <w:p w14:paraId="4C66319E" w14:textId="77777777" w:rsidR="00981C62" w:rsidRPr="00C31853" w:rsidRDefault="00981C62" w:rsidP="00A00CBC">
            <w:pPr>
              <w:spacing w:after="0"/>
              <w:jc w:val="center"/>
              <w:rPr>
                <w:rFonts w:eastAsia="Times New Roman"/>
                <w:sz w:val="22"/>
              </w:rPr>
            </w:pPr>
          </w:p>
        </w:tc>
      </w:tr>
      <w:tr w:rsidR="00981C62" w:rsidRPr="00D47DDD" w14:paraId="0A1A7B40" w14:textId="77777777" w:rsidTr="00A00CBC">
        <w:trPr>
          <w:trHeight w:val="274"/>
        </w:trPr>
        <w:tc>
          <w:tcPr>
            <w:tcW w:w="3780" w:type="dxa"/>
            <w:tcBorders>
              <w:top w:val="nil"/>
              <w:left w:val="nil"/>
              <w:bottom w:val="nil"/>
              <w:right w:val="single" w:sz="4" w:space="0" w:color="auto"/>
            </w:tcBorders>
          </w:tcPr>
          <w:p w14:paraId="614A1445" w14:textId="0659EB3B" w:rsidR="00981C62" w:rsidRPr="00DE76E5" w:rsidRDefault="00981C62" w:rsidP="00A00CBC">
            <w:pPr>
              <w:spacing w:after="0"/>
              <w:rPr>
                <w:i/>
                <w:sz w:val="22"/>
              </w:rPr>
            </w:pPr>
            <w:r w:rsidRPr="00DE76E5">
              <w:rPr>
                <w:i/>
                <w:sz w:val="22"/>
              </w:rPr>
              <w:t xml:space="preserve">     35</w:t>
            </w:r>
            <w:r w:rsidR="00872800">
              <w:rPr>
                <w:i/>
                <w:sz w:val="22"/>
              </w:rPr>
              <w:t>–</w:t>
            </w:r>
            <w:r w:rsidRPr="00DE76E5">
              <w:rPr>
                <w:i/>
                <w:sz w:val="22"/>
              </w:rPr>
              <w:t>44</w:t>
            </w:r>
          </w:p>
        </w:tc>
        <w:tc>
          <w:tcPr>
            <w:tcW w:w="1890" w:type="dxa"/>
            <w:tcBorders>
              <w:top w:val="nil"/>
              <w:left w:val="single" w:sz="4" w:space="0" w:color="auto"/>
              <w:bottom w:val="nil"/>
              <w:right w:val="nil"/>
            </w:tcBorders>
            <w:vAlign w:val="center"/>
          </w:tcPr>
          <w:p w14:paraId="71F88310" w14:textId="77777777" w:rsidR="00981C62" w:rsidRPr="008A2861" w:rsidRDefault="00981C62" w:rsidP="00A00CBC">
            <w:pPr>
              <w:spacing w:after="0"/>
              <w:jc w:val="right"/>
              <w:rPr>
                <w:rFonts w:eastAsia="Times New Roman"/>
                <w:sz w:val="22"/>
                <w:szCs w:val="22"/>
              </w:rPr>
            </w:pPr>
            <w:r w:rsidRPr="008A2861">
              <w:rPr>
                <w:color w:val="000000"/>
                <w:sz w:val="22"/>
                <w:szCs w:val="22"/>
              </w:rPr>
              <w:t>13.78%</w:t>
            </w:r>
          </w:p>
        </w:tc>
        <w:tc>
          <w:tcPr>
            <w:tcW w:w="900" w:type="dxa"/>
            <w:tcBorders>
              <w:top w:val="nil"/>
              <w:left w:val="nil"/>
              <w:bottom w:val="nil"/>
              <w:right w:val="nil"/>
            </w:tcBorders>
            <w:vAlign w:val="center"/>
          </w:tcPr>
          <w:p w14:paraId="65C90182"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B4BCC70" w14:textId="77777777" w:rsidR="00981C62" w:rsidRPr="008A2861" w:rsidRDefault="00981C62" w:rsidP="00A00CBC">
            <w:pPr>
              <w:spacing w:after="0"/>
              <w:jc w:val="right"/>
              <w:rPr>
                <w:rFonts w:eastAsia="Times New Roman"/>
                <w:sz w:val="22"/>
                <w:szCs w:val="22"/>
              </w:rPr>
            </w:pPr>
            <w:r w:rsidRPr="008A2861">
              <w:rPr>
                <w:color w:val="000000"/>
                <w:sz w:val="22"/>
                <w:szCs w:val="22"/>
              </w:rPr>
              <w:t>13.66%</w:t>
            </w:r>
          </w:p>
        </w:tc>
        <w:tc>
          <w:tcPr>
            <w:tcW w:w="360" w:type="dxa"/>
            <w:tcBorders>
              <w:top w:val="nil"/>
              <w:left w:val="nil"/>
              <w:bottom w:val="nil"/>
              <w:right w:val="nil"/>
            </w:tcBorders>
            <w:vAlign w:val="center"/>
          </w:tcPr>
          <w:p w14:paraId="55EEDA53"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473A82E2" w14:textId="77777777" w:rsidR="00981C62" w:rsidRPr="008A2861" w:rsidRDefault="00981C62" w:rsidP="00A00CBC">
            <w:pPr>
              <w:spacing w:after="0"/>
              <w:jc w:val="right"/>
              <w:rPr>
                <w:rFonts w:eastAsia="Times New Roman"/>
                <w:sz w:val="22"/>
                <w:szCs w:val="22"/>
              </w:rPr>
            </w:pPr>
            <w:r w:rsidRPr="008A2861">
              <w:rPr>
                <w:color w:val="000000"/>
                <w:sz w:val="22"/>
                <w:szCs w:val="22"/>
              </w:rPr>
              <w:t>-0.12</w:t>
            </w:r>
          </w:p>
        </w:tc>
        <w:tc>
          <w:tcPr>
            <w:tcW w:w="450" w:type="dxa"/>
            <w:tcBorders>
              <w:top w:val="nil"/>
              <w:left w:val="nil"/>
              <w:bottom w:val="nil"/>
              <w:right w:val="nil"/>
            </w:tcBorders>
            <w:vAlign w:val="bottom"/>
          </w:tcPr>
          <w:p w14:paraId="2ABC050D" w14:textId="77777777" w:rsidR="00981C62" w:rsidRPr="00C31853" w:rsidRDefault="00981C62" w:rsidP="00A00CBC">
            <w:pPr>
              <w:spacing w:after="0"/>
              <w:jc w:val="center"/>
              <w:rPr>
                <w:rFonts w:eastAsia="Times New Roman"/>
                <w:sz w:val="22"/>
              </w:rPr>
            </w:pPr>
          </w:p>
        </w:tc>
      </w:tr>
      <w:tr w:rsidR="00981C62" w:rsidRPr="00D47DDD" w14:paraId="6BD7EB51" w14:textId="77777777" w:rsidTr="00A00CBC">
        <w:trPr>
          <w:trHeight w:val="274"/>
        </w:trPr>
        <w:tc>
          <w:tcPr>
            <w:tcW w:w="3780" w:type="dxa"/>
            <w:tcBorders>
              <w:top w:val="nil"/>
              <w:left w:val="nil"/>
              <w:bottom w:val="nil"/>
              <w:right w:val="single" w:sz="4" w:space="0" w:color="auto"/>
            </w:tcBorders>
          </w:tcPr>
          <w:p w14:paraId="34F6EA37" w14:textId="57864D9A" w:rsidR="00981C62" w:rsidRPr="00DE76E5" w:rsidRDefault="00981C62" w:rsidP="00A00CBC">
            <w:pPr>
              <w:spacing w:after="0"/>
              <w:rPr>
                <w:i/>
                <w:sz w:val="22"/>
              </w:rPr>
            </w:pPr>
            <w:r w:rsidRPr="00DE76E5">
              <w:rPr>
                <w:i/>
                <w:sz w:val="22"/>
              </w:rPr>
              <w:t xml:space="preserve">     45</w:t>
            </w:r>
            <w:r w:rsidR="00872800">
              <w:rPr>
                <w:i/>
                <w:sz w:val="22"/>
              </w:rPr>
              <w:t>–</w:t>
            </w:r>
            <w:r w:rsidRPr="00DE76E5">
              <w:rPr>
                <w:i/>
                <w:sz w:val="22"/>
              </w:rPr>
              <w:t>54</w:t>
            </w:r>
          </w:p>
        </w:tc>
        <w:tc>
          <w:tcPr>
            <w:tcW w:w="1890" w:type="dxa"/>
            <w:tcBorders>
              <w:top w:val="nil"/>
              <w:left w:val="single" w:sz="4" w:space="0" w:color="auto"/>
              <w:bottom w:val="nil"/>
              <w:right w:val="nil"/>
            </w:tcBorders>
            <w:vAlign w:val="center"/>
          </w:tcPr>
          <w:p w14:paraId="7F842102" w14:textId="77777777" w:rsidR="00981C62" w:rsidRPr="008A2861" w:rsidRDefault="00981C62" w:rsidP="00A00CBC">
            <w:pPr>
              <w:spacing w:after="0"/>
              <w:jc w:val="right"/>
              <w:rPr>
                <w:rFonts w:eastAsia="Times New Roman"/>
                <w:sz w:val="22"/>
                <w:szCs w:val="22"/>
              </w:rPr>
            </w:pPr>
            <w:r w:rsidRPr="008A2861">
              <w:rPr>
                <w:color w:val="000000"/>
                <w:sz w:val="22"/>
                <w:szCs w:val="22"/>
              </w:rPr>
              <w:t>15.27%</w:t>
            </w:r>
          </w:p>
        </w:tc>
        <w:tc>
          <w:tcPr>
            <w:tcW w:w="900" w:type="dxa"/>
            <w:tcBorders>
              <w:top w:val="nil"/>
              <w:left w:val="nil"/>
              <w:bottom w:val="nil"/>
              <w:right w:val="nil"/>
            </w:tcBorders>
            <w:vAlign w:val="center"/>
          </w:tcPr>
          <w:p w14:paraId="0AF3528D"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33B29269" w14:textId="77777777" w:rsidR="00981C62" w:rsidRPr="008A2861" w:rsidRDefault="00981C62" w:rsidP="00A00CBC">
            <w:pPr>
              <w:spacing w:after="0"/>
              <w:jc w:val="right"/>
              <w:rPr>
                <w:rFonts w:eastAsia="Times New Roman"/>
                <w:sz w:val="22"/>
                <w:szCs w:val="22"/>
              </w:rPr>
            </w:pPr>
            <w:r w:rsidRPr="008A2861">
              <w:rPr>
                <w:color w:val="000000"/>
                <w:sz w:val="22"/>
                <w:szCs w:val="22"/>
              </w:rPr>
              <w:t>15.25%</w:t>
            </w:r>
          </w:p>
        </w:tc>
        <w:tc>
          <w:tcPr>
            <w:tcW w:w="360" w:type="dxa"/>
            <w:tcBorders>
              <w:top w:val="nil"/>
              <w:left w:val="nil"/>
              <w:bottom w:val="nil"/>
              <w:right w:val="nil"/>
            </w:tcBorders>
            <w:vAlign w:val="center"/>
          </w:tcPr>
          <w:p w14:paraId="64A79FE8"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0DAE785A" w14:textId="77777777" w:rsidR="00981C62" w:rsidRPr="008A2861" w:rsidRDefault="00981C62" w:rsidP="00A00CBC">
            <w:pPr>
              <w:spacing w:after="0"/>
              <w:jc w:val="right"/>
              <w:rPr>
                <w:rFonts w:eastAsia="Times New Roman"/>
                <w:sz w:val="22"/>
                <w:szCs w:val="22"/>
              </w:rPr>
            </w:pPr>
            <w:r w:rsidRPr="008A2861">
              <w:rPr>
                <w:color w:val="000000"/>
                <w:sz w:val="22"/>
                <w:szCs w:val="22"/>
              </w:rPr>
              <w:t>-0.01</w:t>
            </w:r>
          </w:p>
        </w:tc>
        <w:tc>
          <w:tcPr>
            <w:tcW w:w="450" w:type="dxa"/>
            <w:tcBorders>
              <w:top w:val="nil"/>
              <w:left w:val="nil"/>
              <w:bottom w:val="nil"/>
              <w:right w:val="nil"/>
            </w:tcBorders>
            <w:vAlign w:val="bottom"/>
          </w:tcPr>
          <w:p w14:paraId="794BCBD7" w14:textId="77777777" w:rsidR="00981C62" w:rsidRPr="00C31853" w:rsidRDefault="00981C62" w:rsidP="00A00CBC">
            <w:pPr>
              <w:spacing w:after="0"/>
              <w:jc w:val="center"/>
              <w:rPr>
                <w:rFonts w:eastAsia="Times New Roman"/>
                <w:sz w:val="22"/>
              </w:rPr>
            </w:pPr>
          </w:p>
        </w:tc>
      </w:tr>
      <w:tr w:rsidR="00981C62" w:rsidRPr="00D47DDD" w14:paraId="1113C2B0" w14:textId="77777777" w:rsidTr="00A00CBC">
        <w:trPr>
          <w:trHeight w:val="274"/>
        </w:trPr>
        <w:tc>
          <w:tcPr>
            <w:tcW w:w="3780" w:type="dxa"/>
            <w:tcBorders>
              <w:top w:val="nil"/>
              <w:left w:val="nil"/>
              <w:bottom w:val="nil"/>
              <w:right w:val="single" w:sz="4" w:space="0" w:color="auto"/>
            </w:tcBorders>
          </w:tcPr>
          <w:p w14:paraId="556B7823" w14:textId="1FCE11E4" w:rsidR="00981C62" w:rsidRPr="00DE76E5" w:rsidRDefault="00981C62" w:rsidP="00A00CBC">
            <w:pPr>
              <w:spacing w:after="0"/>
              <w:rPr>
                <w:i/>
                <w:sz w:val="22"/>
              </w:rPr>
            </w:pPr>
            <w:r w:rsidRPr="00DE76E5">
              <w:rPr>
                <w:i/>
                <w:sz w:val="22"/>
              </w:rPr>
              <w:t xml:space="preserve">     55</w:t>
            </w:r>
            <w:r w:rsidR="00872800">
              <w:rPr>
                <w:i/>
                <w:sz w:val="22"/>
              </w:rPr>
              <w:t>–</w:t>
            </w:r>
            <w:r w:rsidRPr="00DE76E5">
              <w:rPr>
                <w:i/>
                <w:sz w:val="22"/>
              </w:rPr>
              <w:t>64</w:t>
            </w:r>
          </w:p>
        </w:tc>
        <w:tc>
          <w:tcPr>
            <w:tcW w:w="1890" w:type="dxa"/>
            <w:tcBorders>
              <w:top w:val="nil"/>
              <w:left w:val="single" w:sz="4" w:space="0" w:color="auto"/>
              <w:bottom w:val="nil"/>
              <w:right w:val="nil"/>
            </w:tcBorders>
            <w:vAlign w:val="center"/>
          </w:tcPr>
          <w:p w14:paraId="16ECBE58" w14:textId="77777777" w:rsidR="00981C62" w:rsidRPr="008A2861" w:rsidRDefault="00981C62" w:rsidP="00A00CBC">
            <w:pPr>
              <w:spacing w:after="0"/>
              <w:jc w:val="right"/>
              <w:rPr>
                <w:rFonts w:eastAsia="Times New Roman"/>
                <w:sz w:val="22"/>
                <w:szCs w:val="22"/>
              </w:rPr>
            </w:pPr>
            <w:r w:rsidRPr="008A2861">
              <w:rPr>
                <w:color w:val="000000"/>
                <w:sz w:val="22"/>
                <w:szCs w:val="22"/>
              </w:rPr>
              <w:t>14.58%</w:t>
            </w:r>
          </w:p>
        </w:tc>
        <w:tc>
          <w:tcPr>
            <w:tcW w:w="900" w:type="dxa"/>
            <w:tcBorders>
              <w:top w:val="nil"/>
              <w:left w:val="nil"/>
              <w:bottom w:val="nil"/>
              <w:right w:val="nil"/>
            </w:tcBorders>
            <w:vAlign w:val="center"/>
          </w:tcPr>
          <w:p w14:paraId="134EF177"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6921E3F" w14:textId="77777777" w:rsidR="00981C62" w:rsidRPr="008A2861" w:rsidRDefault="00981C62" w:rsidP="00A00CBC">
            <w:pPr>
              <w:spacing w:after="0"/>
              <w:jc w:val="right"/>
              <w:rPr>
                <w:rFonts w:eastAsia="Times New Roman"/>
                <w:sz w:val="22"/>
                <w:szCs w:val="22"/>
              </w:rPr>
            </w:pPr>
            <w:r w:rsidRPr="008A2861">
              <w:rPr>
                <w:color w:val="000000"/>
                <w:sz w:val="22"/>
                <w:szCs w:val="22"/>
              </w:rPr>
              <w:t>14.68%</w:t>
            </w:r>
          </w:p>
        </w:tc>
        <w:tc>
          <w:tcPr>
            <w:tcW w:w="360" w:type="dxa"/>
            <w:tcBorders>
              <w:top w:val="nil"/>
              <w:left w:val="nil"/>
              <w:bottom w:val="nil"/>
              <w:right w:val="nil"/>
            </w:tcBorders>
            <w:vAlign w:val="center"/>
          </w:tcPr>
          <w:p w14:paraId="3E9F43AF"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7EF46085" w14:textId="77777777" w:rsidR="00981C62" w:rsidRPr="008A2861" w:rsidRDefault="00981C62" w:rsidP="00A00CBC">
            <w:pPr>
              <w:spacing w:after="0"/>
              <w:jc w:val="right"/>
              <w:rPr>
                <w:rFonts w:eastAsia="Times New Roman"/>
                <w:sz w:val="22"/>
                <w:szCs w:val="22"/>
              </w:rPr>
            </w:pPr>
            <w:r w:rsidRPr="008A2861">
              <w:rPr>
                <w:color w:val="000000"/>
                <w:sz w:val="22"/>
                <w:szCs w:val="22"/>
              </w:rPr>
              <w:t>0.10</w:t>
            </w:r>
          </w:p>
        </w:tc>
        <w:tc>
          <w:tcPr>
            <w:tcW w:w="450" w:type="dxa"/>
            <w:tcBorders>
              <w:top w:val="nil"/>
              <w:left w:val="nil"/>
              <w:bottom w:val="nil"/>
              <w:right w:val="nil"/>
            </w:tcBorders>
            <w:vAlign w:val="bottom"/>
          </w:tcPr>
          <w:p w14:paraId="0027C741" w14:textId="77777777" w:rsidR="00981C62" w:rsidRPr="00C31853" w:rsidRDefault="00981C62" w:rsidP="00A00CBC">
            <w:pPr>
              <w:spacing w:after="0"/>
              <w:jc w:val="center"/>
              <w:rPr>
                <w:rFonts w:eastAsia="Times New Roman"/>
                <w:sz w:val="22"/>
              </w:rPr>
            </w:pPr>
          </w:p>
        </w:tc>
      </w:tr>
      <w:tr w:rsidR="00981C62" w:rsidRPr="00D47DDD" w14:paraId="5A95E277" w14:textId="77777777" w:rsidTr="00A00CBC">
        <w:trPr>
          <w:trHeight w:val="274"/>
        </w:trPr>
        <w:tc>
          <w:tcPr>
            <w:tcW w:w="3780" w:type="dxa"/>
            <w:tcBorders>
              <w:top w:val="nil"/>
              <w:left w:val="nil"/>
              <w:bottom w:val="nil"/>
              <w:right w:val="single" w:sz="4" w:space="0" w:color="auto"/>
            </w:tcBorders>
          </w:tcPr>
          <w:p w14:paraId="3E2084A6" w14:textId="3C73C99A" w:rsidR="00981C62" w:rsidRPr="00DE76E5" w:rsidRDefault="00981C62" w:rsidP="00A00CBC">
            <w:pPr>
              <w:spacing w:after="0"/>
              <w:rPr>
                <w:i/>
                <w:sz w:val="22"/>
              </w:rPr>
            </w:pPr>
            <w:r w:rsidRPr="00DE76E5">
              <w:rPr>
                <w:i/>
                <w:sz w:val="22"/>
              </w:rPr>
              <w:t xml:space="preserve">     65</w:t>
            </w:r>
            <w:r w:rsidR="00872800">
              <w:rPr>
                <w:i/>
                <w:sz w:val="22"/>
              </w:rPr>
              <w:t>–</w:t>
            </w:r>
            <w:r w:rsidRPr="00DE76E5">
              <w:rPr>
                <w:i/>
                <w:sz w:val="22"/>
              </w:rPr>
              <w:t>74</w:t>
            </w:r>
          </w:p>
        </w:tc>
        <w:tc>
          <w:tcPr>
            <w:tcW w:w="1890" w:type="dxa"/>
            <w:tcBorders>
              <w:top w:val="nil"/>
              <w:left w:val="single" w:sz="4" w:space="0" w:color="auto"/>
              <w:bottom w:val="nil"/>
              <w:right w:val="nil"/>
            </w:tcBorders>
            <w:vAlign w:val="center"/>
          </w:tcPr>
          <w:p w14:paraId="008DAAAF" w14:textId="77777777" w:rsidR="00981C62" w:rsidRPr="008A2861" w:rsidRDefault="00981C62" w:rsidP="00A00CBC">
            <w:pPr>
              <w:spacing w:after="0"/>
              <w:jc w:val="right"/>
              <w:rPr>
                <w:rFonts w:eastAsia="Times New Roman"/>
                <w:sz w:val="22"/>
                <w:szCs w:val="22"/>
              </w:rPr>
            </w:pPr>
            <w:r w:rsidRPr="008A2861">
              <w:rPr>
                <w:color w:val="000000"/>
                <w:sz w:val="22"/>
                <w:szCs w:val="22"/>
              </w:rPr>
              <w:t>11.67%</w:t>
            </w:r>
          </w:p>
        </w:tc>
        <w:tc>
          <w:tcPr>
            <w:tcW w:w="900" w:type="dxa"/>
            <w:tcBorders>
              <w:top w:val="nil"/>
              <w:left w:val="nil"/>
              <w:bottom w:val="nil"/>
              <w:right w:val="nil"/>
            </w:tcBorders>
            <w:vAlign w:val="center"/>
          </w:tcPr>
          <w:p w14:paraId="55D9A11D"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1906AF74" w14:textId="77777777" w:rsidR="00981C62" w:rsidRPr="008A2861" w:rsidRDefault="00981C62" w:rsidP="00A00CBC">
            <w:pPr>
              <w:spacing w:after="0"/>
              <w:jc w:val="right"/>
              <w:rPr>
                <w:rFonts w:eastAsia="Times New Roman"/>
                <w:sz w:val="22"/>
                <w:szCs w:val="22"/>
              </w:rPr>
            </w:pPr>
            <w:r w:rsidRPr="008A2861">
              <w:rPr>
                <w:color w:val="000000"/>
                <w:sz w:val="22"/>
                <w:szCs w:val="22"/>
              </w:rPr>
              <w:t>12.02%</w:t>
            </w:r>
          </w:p>
        </w:tc>
        <w:tc>
          <w:tcPr>
            <w:tcW w:w="360" w:type="dxa"/>
            <w:tcBorders>
              <w:top w:val="nil"/>
              <w:left w:val="nil"/>
              <w:bottom w:val="nil"/>
              <w:right w:val="nil"/>
            </w:tcBorders>
            <w:vAlign w:val="center"/>
          </w:tcPr>
          <w:p w14:paraId="3085B2E2"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142C555B" w14:textId="77777777" w:rsidR="00981C62" w:rsidRPr="008A2861" w:rsidRDefault="00981C62" w:rsidP="00A00CBC">
            <w:pPr>
              <w:spacing w:after="0"/>
              <w:jc w:val="right"/>
              <w:rPr>
                <w:rFonts w:eastAsia="Times New Roman"/>
                <w:sz w:val="22"/>
                <w:szCs w:val="22"/>
              </w:rPr>
            </w:pPr>
            <w:r w:rsidRPr="008A2861">
              <w:rPr>
                <w:color w:val="000000"/>
                <w:sz w:val="22"/>
                <w:szCs w:val="22"/>
              </w:rPr>
              <w:t>0.36</w:t>
            </w:r>
          </w:p>
        </w:tc>
        <w:tc>
          <w:tcPr>
            <w:tcW w:w="450" w:type="dxa"/>
            <w:tcBorders>
              <w:top w:val="nil"/>
              <w:left w:val="nil"/>
              <w:bottom w:val="nil"/>
              <w:right w:val="nil"/>
            </w:tcBorders>
            <w:vAlign w:val="bottom"/>
          </w:tcPr>
          <w:p w14:paraId="03D341F4" w14:textId="77777777" w:rsidR="00981C62" w:rsidRPr="00C31853" w:rsidRDefault="00981C62" w:rsidP="00A00CBC">
            <w:pPr>
              <w:spacing w:after="0"/>
              <w:jc w:val="center"/>
              <w:rPr>
                <w:rFonts w:eastAsia="Times New Roman"/>
                <w:sz w:val="22"/>
              </w:rPr>
            </w:pPr>
          </w:p>
        </w:tc>
      </w:tr>
      <w:tr w:rsidR="00981C62" w:rsidRPr="00D47DDD" w14:paraId="7834E7A7" w14:textId="77777777" w:rsidTr="00A00CBC">
        <w:trPr>
          <w:trHeight w:val="274"/>
        </w:trPr>
        <w:tc>
          <w:tcPr>
            <w:tcW w:w="3780" w:type="dxa"/>
            <w:tcBorders>
              <w:top w:val="nil"/>
              <w:left w:val="nil"/>
              <w:bottom w:val="nil"/>
              <w:right w:val="single" w:sz="4" w:space="0" w:color="auto"/>
            </w:tcBorders>
          </w:tcPr>
          <w:p w14:paraId="431DCB3E" w14:textId="331618D3" w:rsidR="00981C62" w:rsidRPr="00DE76E5" w:rsidRDefault="00981C62" w:rsidP="00A00CBC">
            <w:pPr>
              <w:spacing w:after="0"/>
              <w:rPr>
                <w:i/>
                <w:sz w:val="22"/>
              </w:rPr>
            </w:pPr>
            <w:r w:rsidRPr="00DE76E5">
              <w:rPr>
                <w:i/>
                <w:sz w:val="22"/>
              </w:rPr>
              <w:t xml:space="preserve">     75</w:t>
            </w:r>
            <w:r w:rsidR="00872800">
              <w:rPr>
                <w:i/>
                <w:sz w:val="22"/>
              </w:rPr>
              <w:t>–</w:t>
            </w:r>
            <w:r w:rsidRPr="00DE76E5">
              <w:rPr>
                <w:i/>
                <w:sz w:val="22"/>
              </w:rPr>
              <w:t>84</w:t>
            </w:r>
          </w:p>
        </w:tc>
        <w:tc>
          <w:tcPr>
            <w:tcW w:w="1890" w:type="dxa"/>
            <w:tcBorders>
              <w:top w:val="nil"/>
              <w:left w:val="single" w:sz="4" w:space="0" w:color="auto"/>
              <w:bottom w:val="nil"/>
              <w:right w:val="nil"/>
            </w:tcBorders>
            <w:vAlign w:val="center"/>
          </w:tcPr>
          <w:p w14:paraId="690AE575" w14:textId="77777777" w:rsidR="00981C62" w:rsidRPr="008A2861" w:rsidRDefault="00981C62" w:rsidP="00A00CBC">
            <w:pPr>
              <w:spacing w:after="0"/>
              <w:jc w:val="right"/>
              <w:rPr>
                <w:rFonts w:eastAsia="Times New Roman"/>
                <w:sz w:val="22"/>
                <w:szCs w:val="22"/>
              </w:rPr>
            </w:pPr>
            <w:r w:rsidRPr="008A2861">
              <w:rPr>
                <w:color w:val="000000"/>
                <w:sz w:val="22"/>
                <w:szCs w:val="22"/>
              </w:rPr>
              <w:t>6.61%</w:t>
            </w:r>
          </w:p>
        </w:tc>
        <w:tc>
          <w:tcPr>
            <w:tcW w:w="900" w:type="dxa"/>
            <w:tcBorders>
              <w:top w:val="nil"/>
              <w:left w:val="nil"/>
              <w:bottom w:val="nil"/>
              <w:right w:val="nil"/>
            </w:tcBorders>
            <w:vAlign w:val="center"/>
          </w:tcPr>
          <w:p w14:paraId="6211B4D6"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C534ED5" w14:textId="77777777" w:rsidR="00981C62" w:rsidRPr="008A2861" w:rsidRDefault="00981C62" w:rsidP="00A00CBC">
            <w:pPr>
              <w:spacing w:after="0"/>
              <w:jc w:val="right"/>
              <w:rPr>
                <w:rFonts w:eastAsia="Times New Roman"/>
                <w:sz w:val="22"/>
                <w:szCs w:val="22"/>
              </w:rPr>
            </w:pPr>
            <w:r w:rsidRPr="008A2861">
              <w:rPr>
                <w:color w:val="000000"/>
                <w:sz w:val="22"/>
                <w:szCs w:val="22"/>
              </w:rPr>
              <w:t>6.84%</w:t>
            </w:r>
          </w:p>
        </w:tc>
        <w:tc>
          <w:tcPr>
            <w:tcW w:w="360" w:type="dxa"/>
            <w:tcBorders>
              <w:top w:val="nil"/>
              <w:left w:val="nil"/>
              <w:bottom w:val="nil"/>
              <w:right w:val="nil"/>
            </w:tcBorders>
            <w:vAlign w:val="center"/>
          </w:tcPr>
          <w:p w14:paraId="03041A19"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4F69E6F4" w14:textId="77777777" w:rsidR="00981C62" w:rsidRPr="008A2861" w:rsidRDefault="00981C62" w:rsidP="00A00CBC">
            <w:pPr>
              <w:spacing w:after="0"/>
              <w:jc w:val="right"/>
              <w:rPr>
                <w:rFonts w:eastAsia="Times New Roman"/>
                <w:sz w:val="22"/>
                <w:szCs w:val="22"/>
              </w:rPr>
            </w:pPr>
            <w:r w:rsidRPr="008A2861">
              <w:rPr>
                <w:color w:val="000000"/>
                <w:sz w:val="22"/>
                <w:szCs w:val="22"/>
              </w:rPr>
              <w:t>0.23</w:t>
            </w:r>
          </w:p>
        </w:tc>
        <w:tc>
          <w:tcPr>
            <w:tcW w:w="450" w:type="dxa"/>
            <w:tcBorders>
              <w:top w:val="nil"/>
              <w:left w:val="nil"/>
              <w:bottom w:val="nil"/>
              <w:right w:val="nil"/>
            </w:tcBorders>
            <w:vAlign w:val="bottom"/>
          </w:tcPr>
          <w:p w14:paraId="2CCE0F7D" w14:textId="77777777" w:rsidR="00981C62" w:rsidRPr="00C31853" w:rsidRDefault="00981C62" w:rsidP="00A00CBC">
            <w:pPr>
              <w:spacing w:after="0"/>
              <w:jc w:val="center"/>
              <w:rPr>
                <w:rFonts w:eastAsia="Times New Roman"/>
                <w:sz w:val="22"/>
              </w:rPr>
            </w:pPr>
          </w:p>
        </w:tc>
      </w:tr>
      <w:tr w:rsidR="00981C62" w:rsidRPr="00D47DDD" w14:paraId="79D81AA4" w14:textId="77777777" w:rsidTr="00A00CBC">
        <w:trPr>
          <w:trHeight w:val="274"/>
        </w:trPr>
        <w:tc>
          <w:tcPr>
            <w:tcW w:w="3780" w:type="dxa"/>
            <w:tcBorders>
              <w:top w:val="nil"/>
              <w:left w:val="nil"/>
              <w:bottom w:val="nil"/>
              <w:right w:val="single" w:sz="4" w:space="0" w:color="auto"/>
            </w:tcBorders>
          </w:tcPr>
          <w:p w14:paraId="20A7E92E" w14:textId="77777777" w:rsidR="00981C62" w:rsidRPr="00FC74F4" w:rsidRDefault="00981C62" w:rsidP="00A00CBC">
            <w:pPr>
              <w:spacing w:after="0"/>
              <w:rPr>
                <w:sz w:val="22"/>
              </w:rPr>
            </w:pPr>
            <w:r>
              <w:rPr>
                <w:sz w:val="22"/>
              </w:rPr>
              <w:t>Education</w:t>
            </w:r>
          </w:p>
        </w:tc>
        <w:tc>
          <w:tcPr>
            <w:tcW w:w="1890" w:type="dxa"/>
            <w:tcBorders>
              <w:top w:val="nil"/>
              <w:left w:val="single" w:sz="4" w:space="0" w:color="auto"/>
              <w:bottom w:val="nil"/>
              <w:right w:val="nil"/>
            </w:tcBorders>
            <w:vAlign w:val="center"/>
          </w:tcPr>
          <w:p w14:paraId="64A958C2" w14:textId="77777777" w:rsidR="00981C62" w:rsidRPr="008A2861" w:rsidRDefault="00981C62" w:rsidP="00A00CBC">
            <w:pPr>
              <w:spacing w:after="0"/>
              <w:jc w:val="right"/>
              <w:rPr>
                <w:rFonts w:eastAsia="Times New Roman"/>
                <w:sz w:val="22"/>
                <w:szCs w:val="22"/>
              </w:rPr>
            </w:pPr>
          </w:p>
        </w:tc>
        <w:tc>
          <w:tcPr>
            <w:tcW w:w="900" w:type="dxa"/>
            <w:tcBorders>
              <w:top w:val="nil"/>
              <w:left w:val="nil"/>
              <w:bottom w:val="nil"/>
              <w:right w:val="nil"/>
            </w:tcBorders>
            <w:vAlign w:val="center"/>
          </w:tcPr>
          <w:p w14:paraId="4FBEFC84"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CEA3F53" w14:textId="77777777" w:rsidR="00981C62" w:rsidRPr="008A2861" w:rsidRDefault="00981C62" w:rsidP="00A00CBC">
            <w:pPr>
              <w:spacing w:after="0"/>
              <w:jc w:val="right"/>
              <w:rPr>
                <w:rFonts w:eastAsia="Times New Roman"/>
                <w:sz w:val="22"/>
                <w:szCs w:val="22"/>
              </w:rPr>
            </w:pPr>
          </w:p>
        </w:tc>
        <w:tc>
          <w:tcPr>
            <w:tcW w:w="360" w:type="dxa"/>
            <w:tcBorders>
              <w:top w:val="nil"/>
              <w:left w:val="nil"/>
              <w:bottom w:val="nil"/>
              <w:right w:val="nil"/>
            </w:tcBorders>
            <w:vAlign w:val="center"/>
          </w:tcPr>
          <w:p w14:paraId="718C3827"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2B532AAD" w14:textId="77777777" w:rsidR="00981C62" w:rsidRPr="008A2861" w:rsidRDefault="00981C62" w:rsidP="00A00CBC">
            <w:pPr>
              <w:spacing w:after="0"/>
              <w:jc w:val="right"/>
              <w:rPr>
                <w:rFonts w:eastAsia="Times New Roman"/>
                <w:sz w:val="22"/>
                <w:szCs w:val="22"/>
              </w:rPr>
            </w:pPr>
          </w:p>
        </w:tc>
        <w:tc>
          <w:tcPr>
            <w:tcW w:w="450" w:type="dxa"/>
            <w:tcBorders>
              <w:top w:val="nil"/>
              <w:left w:val="nil"/>
              <w:bottom w:val="nil"/>
              <w:right w:val="nil"/>
            </w:tcBorders>
          </w:tcPr>
          <w:p w14:paraId="30990817" w14:textId="77777777" w:rsidR="00981C62" w:rsidRPr="00C31853" w:rsidRDefault="00981C62" w:rsidP="00A00CBC">
            <w:pPr>
              <w:spacing w:after="0"/>
              <w:jc w:val="center"/>
              <w:rPr>
                <w:rFonts w:eastAsia="Times New Roman"/>
                <w:sz w:val="22"/>
              </w:rPr>
            </w:pPr>
          </w:p>
        </w:tc>
      </w:tr>
      <w:tr w:rsidR="00981C62" w:rsidRPr="00D47DDD" w14:paraId="0054990B" w14:textId="77777777" w:rsidTr="00A00CBC">
        <w:trPr>
          <w:trHeight w:val="274"/>
        </w:trPr>
        <w:tc>
          <w:tcPr>
            <w:tcW w:w="3780" w:type="dxa"/>
            <w:tcBorders>
              <w:top w:val="nil"/>
              <w:left w:val="nil"/>
              <w:bottom w:val="nil"/>
              <w:right w:val="single" w:sz="4" w:space="0" w:color="auto"/>
            </w:tcBorders>
          </w:tcPr>
          <w:p w14:paraId="7282FFEF" w14:textId="77777777" w:rsidR="00981C62" w:rsidRPr="00713929" w:rsidRDefault="00981C62" w:rsidP="00A00CBC">
            <w:pPr>
              <w:spacing w:after="0"/>
              <w:rPr>
                <w:i/>
                <w:sz w:val="22"/>
              </w:rPr>
            </w:pPr>
            <w:r>
              <w:rPr>
                <w:i/>
                <w:sz w:val="22"/>
              </w:rPr>
              <w:t xml:space="preserve">     Less than high school</w:t>
            </w:r>
          </w:p>
        </w:tc>
        <w:tc>
          <w:tcPr>
            <w:tcW w:w="1890" w:type="dxa"/>
            <w:tcBorders>
              <w:top w:val="nil"/>
              <w:left w:val="single" w:sz="4" w:space="0" w:color="auto"/>
              <w:bottom w:val="nil"/>
              <w:right w:val="nil"/>
            </w:tcBorders>
            <w:vAlign w:val="center"/>
          </w:tcPr>
          <w:p w14:paraId="26A1657E" w14:textId="77777777" w:rsidR="00981C62" w:rsidRPr="008A2861" w:rsidRDefault="00981C62" w:rsidP="00A00CBC">
            <w:pPr>
              <w:spacing w:after="0"/>
              <w:jc w:val="right"/>
              <w:rPr>
                <w:rFonts w:eastAsia="Times New Roman"/>
                <w:sz w:val="22"/>
                <w:szCs w:val="22"/>
              </w:rPr>
            </w:pPr>
            <w:r w:rsidRPr="008A2861">
              <w:rPr>
                <w:color w:val="000000"/>
                <w:sz w:val="22"/>
                <w:szCs w:val="22"/>
              </w:rPr>
              <w:t>12.75%</w:t>
            </w:r>
          </w:p>
        </w:tc>
        <w:tc>
          <w:tcPr>
            <w:tcW w:w="900" w:type="dxa"/>
            <w:tcBorders>
              <w:top w:val="nil"/>
              <w:left w:val="nil"/>
              <w:bottom w:val="nil"/>
              <w:right w:val="nil"/>
            </w:tcBorders>
            <w:vAlign w:val="center"/>
          </w:tcPr>
          <w:p w14:paraId="18BF5B62"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00217275" w14:textId="77777777" w:rsidR="00981C62" w:rsidRPr="008A2861" w:rsidRDefault="00981C62" w:rsidP="00A00CBC">
            <w:pPr>
              <w:spacing w:after="0"/>
              <w:jc w:val="right"/>
              <w:rPr>
                <w:rFonts w:eastAsia="Times New Roman"/>
                <w:sz w:val="22"/>
                <w:szCs w:val="22"/>
              </w:rPr>
            </w:pPr>
            <w:r w:rsidRPr="008A2861">
              <w:rPr>
                <w:color w:val="000000"/>
                <w:sz w:val="22"/>
                <w:szCs w:val="22"/>
              </w:rPr>
              <w:t>12.42%</w:t>
            </w:r>
          </w:p>
        </w:tc>
        <w:tc>
          <w:tcPr>
            <w:tcW w:w="360" w:type="dxa"/>
            <w:tcBorders>
              <w:top w:val="nil"/>
              <w:left w:val="nil"/>
              <w:bottom w:val="nil"/>
              <w:right w:val="nil"/>
            </w:tcBorders>
            <w:vAlign w:val="center"/>
          </w:tcPr>
          <w:p w14:paraId="1E309A4B"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499BF408" w14:textId="77777777" w:rsidR="00981C62" w:rsidRPr="008A2861" w:rsidRDefault="00981C62" w:rsidP="00A00CBC">
            <w:pPr>
              <w:spacing w:after="0"/>
              <w:jc w:val="right"/>
              <w:rPr>
                <w:rFonts w:eastAsia="Times New Roman"/>
                <w:sz w:val="22"/>
                <w:szCs w:val="22"/>
              </w:rPr>
            </w:pPr>
            <w:r w:rsidRPr="008A2861">
              <w:rPr>
                <w:color w:val="000000"/>
                <w:sz w:val="22"/>
                <w:szCs w:val="22"/>
              </w:rPr>
              <w:t>-0.33</w:t>
            </w:r>
          </w:p>
        </w:tc>
        <w:tc>
          <w:tcPr>
            <w:tcW w:w="450" w:type="dxa"/>
            <w:tcBorders>
              <w:top w:val="nil"/>
              <w:left w:val="nil"/>
              <w:bottom w:val="nil"/>
              <w:right w:val="nil"/>
            </w:tcBorders>
            <w:vAlign w:val="bottom"/>
          </w:tcPr>
          <w:p w14:paraId="7EEDB563" w14:textId="77777777" w:rsidR="00981C62" w:rsidRPr="00C31853" w:rsidRDefault="00981C62" w:rsidP="00A00CBC">
            <w:pPr>
              <w:spacing w:after="0"/>
              <w:jc w:val="center"/>
              <w:rPr>
                <w:rFonts w:eastAsia="Times New Roman"/>
                <w:sz w:val="22"/>
              </w:rPr>
            </w:pPr>
          </w:p>
        </w:tc>
      </w:tr>
      <w:tr w:rsidR="00981C62" w:rsidRPr="00D47DDD" w14:paraId="7A2294D1" w14:textId="77777777" w:rsidTr="00A00CBC">
        <w:trPr>
          <w:trHeight w:val="274"/>
        </w:trPr>
        <w:tc>
          <w:tcPr>
            <w:tcW w:w="3780" w:type="dxa"/>
            <w:tcBorders>
              <w:top w:val="nil"/>
              <w:left w:val="nil"/>
              <w:bottom w:val="nil"/>
              <w:right w:val="single" w:sz="4" w:space="0" w:color="auto"/>
            </w:tcBorders>
          </w:tcPr>
          <w:p w14:paraId="487FFB0F" w14:textId="77777777" w:rsidR="00981C62" w:rsidRPr="00713929" w:rsidRDefault="00981C62" w:rsidP="00A00CBC">
            <w:pPr>
              <w:spacing w:after="0"/>
              <w:rPr>
                <w:i/>
                <w:sz w:val="22"/>
              </w:rPr>
            </w:pPr>
            <w:r>
              <w:rPr>
                <w:i/>
                <w:sz w:val="22"/>
              </w:rPr>
              <w:t xml:space="preserve">     High school graduate</w:t>
            </w:r>
          </w:p>
        </w:tc>
        <w:tc>
          <w:tcPr>
            <w:tcW w:w="1890" w:type="dxa"/>
            <w:tcBorders>
              <w:top w:val="nil"/>
              <w:left w:val="single" w:sz="4" w:space="0" w:color="auto"/>
              <w:bottom w:val="nil"/>
              <w:right w:val="nil"/>
            </w:tcBorders>
            <w:vAlign w:val="center"/>
          </w:tcPr>
          <w:p w14:paraId="70CF53E7" w14:textId="77777777" w:rsidR="00981C62" w:rsidRPr="008A2861" w:rsidRDefault="00981C62" w:rsidP="00A00CBC">
            <w:pPr>
              <w:spacing w:after="0"/>
              <w:jc w:val="right"/>
              <w:rPr>
                <w:rFonts w:eastAsia="Times New Roman"/>
                <w:sz w:val="22"/>
                <w:szCs w:val="22"/>
              </w:rPr>
            </w:pPr>
            <w:r w:rsidRPr="008A2861">
              <w:rPr>
                <w:color w:val="000000"/>
                <w:sz w:val="22"/>
                <w:szCs w:val="22"/>
              </w:rPr>
              <w:t>28.90%</w:t>
            </w:r>
          </w:p>
        </w:tc>
        <w:tc>
          <w:tcPr>
            <w:tcW w:w="900" w:type="dxa"/>
            <w:tcBorders>
              <w:top w:val="nil"/>
              <w:left w:val="nil"/>
              <w:bottom w:val="nil"/>
              <w:right w:val="nil"/>
            </w:tcBorders>
            <w:vAlign w:val="center"/>
          </w:tcPr>
          <w:p w14:paraId="5CD2AAE5"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18F2F546" w14:textId="77777777" w:rsidR="00981C62" w:rsidRPr="008A2861" w:rsidRDefault="00981C62" w:rsidP="00A00CBC">
            <w:pPr>
              <w:spacing w:after="0"/>
              <w:jc w:val="right"/>
              <w:rPr>
                <w:rFonts w:eastAsia="Times New Roman"/>
                <w:sz w:val="22"/>
                <w:szCs w:val="22"/>
              </w:rPr>
            </w:pPr>
            <w:r w:rsidRPr="008A2861">
              <w:rPr>
                <w:color w:val="000000"/>
                <w:sz w:val="22"/>
                <w:szCs w:val="22"/>
              </w:rPr>
              <w:t>28.97%</w:t>
            </w:r>
          </w:p>
        </w:tc>
        <w:tc>
          <w:tcPr>
            <w:tcW w:w="360" w:type="dxa"/>
            <w:tcBorders>
              <w:top w:val="nil"/>
              <w:left w:val="nil"/>
              <w:bottom w:val="nil"/>
              <w:right w:val="nil"/>
            </w:tcBorders>
            <w:vAlign w:val="center"/>
          </w:tcPr>
          <w:p w14:paraId="3BB84F5A"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28C91021" w14:textId="77777777" w:rsidR="00981C62" w:rsidRPr="008A2861" w:rsidRDefault="00981C62" w:rsidP="00A00CBC">
            <w:pPr>
              <w:spacing w:after="0"/>
              <w:jc w:val="right"/>
              <w:rPr>
                <w:rFonts w:eastAsia="Times New Roman"/>
                <w:sz w:val="22"/>
                <w:szCs w:val="22"/>
              </w:rPr>
            </w:pPr>
            <w:r w:rsidRPr="008A2861">
              <w:rPr>
                <w:color w:val="000000"/>
                <w:sz w:val="22"/>
                <w:szCs w:val="22"/>
              </w:rPr>
              <w:t>0.07</w:t>
            </w:r>
          </w:p>
        </w:tc>
        <w:tc>
          <w:tcPr>
            <w:tcW w:w="450" w:type="dxa"/>
            <w:tcBorders>
              <w:top w:val="nil"/>
              <w:left w:val="nil"/>
              <w:bottom w:val="nil"/>
              <w:right w:val="nil"/>
            </w:tcBorders>
            <w:vAlign w:val="bottom"/>
          </w:tcPr>
          <w:p w14:paraId="447C9310" w14:textId="77777777" w:rsidR="00981C62" w:rsidRPr="00C31853" w:rsidRDefault="00981C62" w:rsidP="00A00CBC">
            <w:pPr>
              <w:spacing w:after="0"/>
              <w:jc w:val="center"/>
              <w:rPr>
                <w:rFonts w:eastAsia="Times New Roman"/>
                <w:sz w:val="22"/>
              </w:rPr>
            </w:pPr>
          </w:p>
        </w:tc>
      </w:tr>
      <w:tr w:rsidR="00981C62" w:rsidRPr="00D47DDD" w14:paraId="7D23D7B7" w14:textId="77777777" w:rsidTr="00A00CBC">
        <w:trPr>
          <w:trHeight w:val="274"/>
        </w:trPr>
        <w:tc>
          <w:tcPr>
            <w:tcW w:w="3780" w:type="dxa"/>
            <w:tcBorders>
              <w:top w:val="nil"/>
              <w:left w:val="nil"/>
              <w:bottom w:val="nil"/>
              <w:right w:val="single" w:sz="4" w:space="0" w:color="auto"/>
            </w:tcBorders>
          </w:tcPr>
          <w:p w14:paraId="1BB4051F" w14:textId="77777777" w:rsidR="00981C62" w:rsidRPr="00713929" w:rsidRDefault="00981C62" w:rsidP="00A00CBC">
            <w:pPr>
              <w:spacing w:after="0"/>
              <w:rPr>
                <w:i/>
                <w:sz w:val="22"/>
              </w:rPr>
            </w:pPr>
            <w:r>
              <w:rPr>
                <w:i/>
                <w:sz w:val="22"/>
              </w:rPr>
              <w:t xml:space="preserve">     Some college</w:t>
            </w:r>
          </w:p>
        </w:tc>
        <w:tc>
          <w:tcPr>
            <w:tcW w:w="1890" w:type="dxa"/>
            <w:tcBorders>
              <w:top w:val="nil"/>
              <w:left w:val="single" w:sz="4" w:space="0" w:color="auto"/>
              <w:bottom w:val="nil"/>
              <w:right w:val="nil"/>
            </w:tcBorders>
            <w:vAlign w:val="center"/>
          </w:tcPr>
          <w:p w14:paraId="64353F04" w14:textId="77777777" w:rsidR="00981C62" w:rsidRPr="008A2861" w:rsidRDefault="00981C62" w:rsidP="00A00CBC">
            <w:pPr>
              <w:spacing w:after="0"/>
              <w:jc w:val="right"/>
              <w:rPr>
                <w:rFonts w:eastAsia="Times New Roman"/>
                <w:sz w:val="22"/>
                <w:szCs w:val="22"/>
              </w:rPr>
            </w:pPr>
            <w:r w:rsidRPr="008A2861">
              <w:rPr>
                <w:color w:val="000000"/>
                <w:sz w:val="22"/>
                <w:szCs w:val="22"/>
              </w:rPr>
              <w:t>29.95%</w:t>
            </w:r>
          </w:p>
        </w:tc>
        <w:tc>
          <w:tcPr>
            <w:tcW w:w="900" w:type="dxa"/>
            <w:tcBorders>
              <w:top w:val="nil"/>
              <w:left w:val="nil"/>
              <w:bottom w:val="nil"/>
              <w:right w:val="nil"/>
            </w:tcBorders>
            <w:vAlign w:val="center"/>
          </w:tcPr>
          <w:p w14:paraId="69BF649A"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E835437" w14:textId="77777777" w:rsidR="00981C62" w:rsidRPr="008A2861" w:rsidRDefault="00981C62" w:rsidP="00A00CBC">
            <w:pPr>
              <w:spacing w:after="0"/>
              <w:jc w:val="right"/>
              <w:rPr>
                <w:rFonts w:eastAsia="Times New Roman"/>
                <w:sz w:val="22"/>
                <w:szCs w:val="22"/>
              </w:rPr>
            </w:pPr>
            <w:r w:rsidRPr="008A2861">
              <w:rPr>
                <w:color w:val="000000"/>
                <w:sz w:val="22"/>
                <w:szCs w:val="22"/>
              </w:rPr>
              <w:t>30.16%</w:t>
            </w:r>
          </w:p>
        </w:tc>
        <w:tc>
          <w:tcPr>
            <w:tcW w:w="360" w:type="dxa"/>
            <w:tcBorders>
              <w:top w:val="nil"/>
              <w:left w:val="nil"/>
              <w:bottom w:val="nil"/>
              <w:right w:val="nil"/>
            </w:tcBorders>
            <w:vAlign w:val="center"/>
          </w:tcPr>
          <w:p w14:paraId="3F42ADE1"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7C1559CA" w14:textId="77777777" w:rsidR="00981C62" w:rsidRPr="008A2861" w:rsidRDefault="00981C62" w:rsidP="00A00CBC">
            <w:pPr>
              <w:spacing w:after="0"/>
              <w:jc w:val="right"/>
              <w:rPr>
                <w:rFonts w:eastAsia="Times New Roman"/>
                <w:sz w:val="22"/>
                <w:szCs w:val="22"/>
              </w:rPr>
            </w:pPr>
            <w:r w:rsidRPr="008A2861">
              <w:rPr>
                <w:color w:val="000000"/>
                <w:sz w:val="22"/>
                <w:szCs w:val="22"/>
              </w:rPr>
              <w:t>0.22</w:t>
            </w:r>
          </w:p>
        </w:tc>
        <w:tc>
          <w:tcPr>
            <w:tcW w:w="450" w:type="dxa"/>
            <w:tcBorders>
              <w:top w:val="nil"/>
              <w:left w:val="nil"/>
              <w:bottom w:val="nil"/>
              <w:right w:val="nil"/>
            </w:tcBorders>
            <w:vAlign w:val="bottom"/>
          </w:tcPr>
          <w:p w14:paraId="5A229E68" w14:textId="77777777" w:rsidR="00981C62" w:rsidRPr="00C31853" w:rsidRDefault="00981C62" w:rsidP="00A00CBC">
            <w:pPr>
              <w:spacing w:after="0"/>
              <w:jc w:val="center"/>
              <w:rPr>
                <w:rFonts w:eastAsia="Times New Roman"/>
                <w:sz w:val="22"/>
              </w:rPr>
            </w:pPr>
          </w:p>
        </w:tc>
      </w:tr>
      <w:tr w:rsidR="00981C62" w:rsidRPr="00D47DDD" w14:paraId="036BE813" w14:textId="77777777" w:rsidTr="00A00CBC">
        <w:trPr>
          <w:trHeight w:val="274"/>
        </w:trPr>
        <w:tc>
          <w:tcPr>
            <w:tcW w:w="3780" w:type="dxa"/>
            <w:tcBorders>
              <w:top w:val="nil"/>
              <w:left w:val="nil"/>
              <w:bottom w:val="nil"/>
              <w:right w:val="single" w:sz="4" w:space="0" w:color="auto"/>
            </w:tcBorders>
          </w:tcPr>
          <w:p w14:paraId="631782D0" w14:textId="77777777" w:rsidR="00981C62" w:rsidRPr="00713929" w:rsidRDefault="00981C62" w:rsidP="00A00CBC">
            <w:pPr>
              <w:spacing w:after="0"/>
              <w:rPr>
                <w:i/>
                <w:sz w:val="22"/>
              </w:rPr>
            </w:pPr>
            <w:r>
              <w:rPr>
                <w:i/>
                <w:sz w:val="22"/>
              </w:rPr>
              <w:t xml:space="preserve">     Bachelor’s degree</w:t>
            </w:r>
          </w:p>
        </w:tc>
        <w:tc>
          <w:tcPr>
            <w:tcW w:w="1890" w:type="dxa"/>
            <w:tcBorders>
              <w:top w:val="nil"/>
              <w:left w:val="single" w:sz="4" w:space="0" w:color="auto"/>
              <w:bottom w:val="nil"/>
              <w:right w:val="nil"/>
            </w:tcBorders>
            <w:vAlign w:val="center"/>
          </w:tcPr>
          <w:p w14:paraId="18023ECE" w14:textId="77777777" w:rsidR="00981C62" w:rsidRPr="008A2861" w:rsidRDefault="00981C62" w:rsidP="00A00CBC">
            <w:pPr>
              <w:spacing w:after="0"/>
              <w:jc w:val="right"/>
              <w:rPr>
                <w:rFonts w:eastAsia="Times New Roman"/>
                <w:sz w:val="22"/>
                <w:szCs w:val="22"/>
              </w:rPr>
            </w:pPr>
            <w:r w:rsidRPr="008A2861">
              <w:rPr>
                <w:color w:val="000000"/>
                <w:sz w:val="22"/>
                <w:szCs w:val="22"/>
              </w:rPr>
              <w:t>18.11%</w:t>
            </w:r>
          </w:p>
        </w:tc>
        <w:tc>
          <w:tcPr>
            <w:tcW w:w="900" w:type="dxa"/>
            <w:tcBorders>
              <w:top w:val="nil"/>
              <w:left w:val="nil"/>
              <w:bottom w:val="nil"/>
              <w:right w:val="nil"/>
            </w:tcBorders>
            <w:vAlign w:val="center"/>
          </w:tcPr>
          <w:p w14:paraId="29302520"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370D109F" w14:textId="77777777" w:rsidR="00981C62" w:rsidRPr="008A2861" w:rsidRDefault="00981C62" w:rsidP="00A00CBC">
            <w:pPr>
              <w:spacing w:after="0"/>
              <w:jc w:val="right"/>
              <w:rPr>
                <w:rFonts w:eastAsia="Times New Roman"/>
                <w:sz w:val="22"/>
                <w:szCs w:val="22"/>
              </w:rPr>
            </w:pPr>
            <w:r w:rsidRPr="008A2861">
              <w:rPr>
                <w:color w:val="000000"/>
                <w:sz w:val="22"/>
                <w:szCs w:val="22"/>
              </w:rPr>
              <w:t>18.17%</w:t>
            </w:r>
          </w:p>
        </w:tc>
        <w:tc>
          <w:tcPr>
            <w:tcW w:w="360" w:type="dxa"/>
            <w:tcBorders>
              <w:top w:val="nil"/>
              <w:left w:val="nil"/>
              <w:bottom w:val="nil"/>
              <w:right w:val="nil"/>
            </w:tcBorders>
            <w:vAlign w:val="center"/>
          </w:tcPr>
          <w:p w14:paraId="0B436EFE"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3505C7D6" w14:textId="77777777" w:rsidR="00981C62" w:rsidRPr="008A2861" w:rsidRDefault="00981C62" w:rsidP="00A00CBC">
            <w:pPr>
              <w:spacing w:after="0"/>
              <w:jc w:val="right"/>
              <w:rPr>
                <w:rFonts w:eastAsia="Times New Roman"/>
                <w:sz w:val="22"/>
                <w:szCs w:val="22"/>
              </w:rPr>
            </w:pPr>
            <w:r w:rsidRPr="008A2861">
              <w:rPr>
                <w:color w:val="000000"/>
                <w:sz w:val="22"/>
                <w:szCs w:val="22"/>
              </w:rPr>
              <w:t>0.06</w:t>
            </w:r>
          </w:p>
        </w:tc>
        <w:tc>
          <w:tcPr>
            <w:tcW w:w="450" w:type="dxa"/>
            <w:tcBorders>
              <w:top w:val="nil"/>
              <w:left w:val="nil"/>
              <w:bottom w:val="nil"/>
              <w:right w:val="nil"/>
            </w:tcBorders>
            <w:vAlign w:val="bottom"/>
          </w:tcPr>
          <w:p w14:paraId="39D0341C" w14:textId="77777777" w:rsidR="00981C62" w:rsidRPr="00C31853" w:rsidRDefault="00981C62" w:rsidP="00A00CBC">
            <w:pPr>
              <w:spacing w:after="0"/>
              <w:jc w:val="center"/>
              <w:rPr>
                <w:rFonts w:eastAsia="Times New Roman"/>
                <w:sz w:val="22"/>
              </w:rPr>
            </w:pPr>
          </w:p>
        </w:tc>
      </w:tr>
      <w:tr w:rsidR="00981C62" w:rsidRPr="00D47DDD" w14:paraId="5F0317BD" w14:textId="77777777" w:rsidTr="00A00CBC">
        <w:trPr>
          <w:trHeight w:val="274"/>
        </w:trPr>
        <w:tc>
          <w:tcPr>
            <w:tcW w:w="3780" w:type="dxa"/>
            <w:tcBorders>
              <w:top w:val="nil"/>
              <w:left w:val="nil"/>
              <w:bottom w:val="single" w:sz="4" w:space="0" w:color="auto"/>
              <w:right w:val="single" w:sz="4" w:space="0" w:color="auto"/>
            </w:tcBorders>
          </w:tcPr>
          <w:p w14:paraId="5DB2C278" w14:textId="77777777" w:rsidR="00981C62" w:rsidRPr="00713929" w:rsidRDefault="00981C62" w:rsidP="00A00CBC">
            <w:pPr>
              <w:spacing w:after="0"/>
              <w:rPr>
                <w:i/>
                <w:sz w:val="22"/>
              </w:rPr>
            </w:pPr>
            <w:r>
              <w:rPr>
                <w:i/>
                <w:sz w:val="22"/>
              </w:rPr>
              <w:t xml:space="preserve">     Graduate or professional degree</w:t>
            </w:r>
          </w:p>
        </w:tc>
        <w:tc>
          <w:tcPr>
            <w:tcW w:w="1890" w:type="dxa"/>
            <w:tcBorders>
              <w:top w:val="nil"/>
              <w:left w:val="single" w:sz="4" w:space="0" w:color="auto"/>
              <w:bottom w:val="single" w:sz="4" w:space="0" w:color="auto"/>
              <w:right w:val="nil"/>
            </w:tcBorders>
            <w:vAlign w:val="center"/>
          </w:tcPr>
          <w:p w14:paraId="2DDB5DD2" w14:textId="77777777" w:rsidR="00981C62" w:rsidRPr="008A2861" w:rsidRDefault="00981C62" w:rsidP="00A00CBC">
            <w:pPr>
              <w:spacing w:after="0"/>
              <w:jc w:val="right"/>
              <w:rPr>
                <w:rFonts w:eastAsia="Times New Roman"/>
                <w:sz w:val="22"/>
                <w:szCs w:val="22"/>
              </w:rPr>
            </w:pPr>
            <w:r w:rsidRPr="008A2861">
              <w:rPr>
                <w:color w:val="000000"/>
                <w:sz w:val="22"/>
                <w:szCs w:val="22"/>
              </w:rPr>
              <w:t>10.29%</w:t>
            </w:r>
          </w:p>
        </w:tc>
        <w:tc>
          <w:tcPr>
            <w:tcW w:w="900" w:type="dxa"/>
            <w:tcBorders>
              <w:top w:val="nil"/>
              <w:left w:val="nil"/>
              <w:bottom w:val="single" w:sz="4" w:space="0" w:color="auto"/>
              <w:right w:val="nil"/>
            </w:tcBorders>
            <w:vAlign w:val="center"/>
          </w:tcPr>
          <w:p w14:paraId="53AB0E2A"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single" w:sz="4" w:space="0" w:color="auto"/>
              <w:right w:val="nil"/>
            </w:tcBorders>
            <w:vAlign w:val="center"/>
          </w:tcPr>
          <w:p w14:paraId="644B4908" w14:textId="77777777" w:rsidR="00981C62" w:rsidRPr="008A2861" w:rsidRDefault="00981C62" w:rsidP="00A00CBC">
            <w:pPr>
              <w:spacing w:after="0"/>
              <w:jc w:val="right"/>
              <w:rPr>
                <w:rFonts w:eastAsia="Times New Roman"/>
                <w:sz w:val="22"/>
                <w:szCs w:val="22"/>
              </w:rPr>
            </w:pPr>
            <w:r w:rsidRPr="008A2861">
              <w:rPr>
                <w:color w:val="000000"/>
                <w:sz w:val="22"/>
                <w:szCs w:val="22"/>
              </w:rPr>
              <w:t>10.28%</w:t>
            </w:r>
          </w:p>
        </w:tc>
        <w:tc>
          <w:tcPr>
            <w:tcW w:w="360" w:type="dxa"/>
            <w:tcBorders>
              <w:top w:val="nil"/>
              <w:left w:val="nil"/>
              <w:bottom w:val="single" w:sz="4" w:space="0" w:color="auto"/>
              <w:right w:val="nil"/>
            </w:tcBorders>
            <w:vAlign w:val="center"/>
          </w:tcPr>
          <w:p w14:paraId="373DA7B3"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single" w:sz="4" w:space="0" w:color="auto"/>
              <w:right w:val="nil"/>
            </w:tcBorders>
            <w:vAlign w:val="center"/>
          </w:tcPr>
          <w:p w14:paraId="5357582A" w14:textId="77777777" w:rsidR="00981C62" w:rsidRPr="008A2861" w:rsidRDefault="00981C62" w:rsidP="00A00CBC">
            <w:pPr>
              <w:spacing w:after="0"/>
              <w:jc w:val="right"/>
              <w:rPr>
                <w:rFonts w:eastAsia="Times New Roman"/>
                <w:sz w:val="22"/>
                <w:szCs w:val="22"/>
              </w:rPr>
            </w:pPr>
            <w:r w:rsidRPr="008A2861">
              <w:rPr>
                <w:color w:val="000000"/>
                <w:sz w:val="22"/>
                <w:szCs w:val="22"/>
              </w:rPr>
              <w:t>-0.02</w:t>
            </w:r>
          </w:p>
        </w:tc>
        <w:tc>
          <w:tcPr>
            <w:tcW w:w="450" w:type="dxa"/>
            <w:tcBorders>
              <w:top w:val="nil"/>
              <w:left w:val="nil"/>
              <w:bottom w:val="single" w:sz="4" w:space="0" w:color="auto"/>
              <w:right w:val="nil"/>
            </w:tcBorders>
            <w:vAlign w:val="bottom"/>
          </w:tcPr>
          <w:p w14:paraId="58DE30CD" w14:textId="77777777" w:rsidR="00981C62" w:rsidRPr="00C31853" w:rsidRDefault="00981C62" w:rsidP="00A00CBC">
            <w:pPr>
              <w:spacing w:after="0"/>
              <w:jc w:val="center"/>
              <w:rPr>
                <w:rFonts w:eastAsia="Times New Roman"/>
                <w:sz w:val="22"/>
              </w:rPr>
            </w:pPr>
          </w:p>
        </w:tc>
      </w:tr>
    </w:tbl>
    <w:p w14:paraId="14B2A3C0" w14:textId="77777777" w:rsidR="00981C62" w:rsidRDefault="00981C62" w:rsidP="00183A2C">
      <w:pPr>
        <w:pStyle w:val="Heading2"/>
      </w:pPr>
    </w:p>
    <w:p w14:paraId="296AD0FE" w14:textId="77777777" w:rsidR="006F644C" w:rsidRDefault="006F644C" w:rsidP="00015412"/>
    <w:p w14:paraId="71A6DC3F" w14:textId="77777777" w:rsidR="006F644C" w:rsidRDefault="006F644C" w:rsidP="00015412"/>
    <w:p w14:paraId="549D6D6F" w14:textId="77777777" w:rsidR="006F644C" w:rsidRDefault="006F644C" w:rsidP="00015412"/>
    <w:p w14:paraId="5FFF4F94" w14:textId="295C4A5C" w:rsidR="002B75CB" w:rsidRDefault="002B75CB" w:rsidP="00015412">
      <w:pPr>
        <w:rPr>
          <w:rFonts w:ascii="Gulim" w:eastAsia="Gulim" w:hAnsi="Gulim"/>
          <w:b/>
          <w:color w:val="00A0AF"/>
          <w:sz w:val="52"/>
          <w:szCs w:val="52"/>
        </w:rPr>
      </w:pPr>
      <w:r>
        <w:br w:type="page"/>
      </w:r>
    </w:p>
    <w:p w14:paraId="005FB1A3" w14:textId="0EF82064" w:rsidR="00FF1BC0" w:rsidRPr="00375029" w:rsidRDefault="00E44810" w:rsidP="00CA2628">
      <w:pPr>
        <w:pStyle w:val="Heading1"/>
      </w:pPr>
      <w:bookmarkStart w:id="23" w:name="_Toc17788955"/>
      <w:r>
        <w:lastRenderedPageBreak/>
        <w:t>RESULTS</w:t>
      </w:r>
      <w:bookmarkEnd w:id="23"/>
    </w:p>
    <w:p w14:paraId="15E1AE3E" w14:textId="25088591" w:rsidR="004C2ECB" w:rsidRPr="00F315D4" w:rsidRDefault="00E8257E" w:rsidP="001510AE">
      <w:pPr>
        <w:tabs>
          <w:tab w:val="left" w:pos="720"/>
        </w:tabs>
        <w:spacing w:after="220"/>
        <w:rPr>
          <w:sz w:val="22"/>
          <w:szCs w:val="22"/>
        </w:rPr>
      </w:pPr>
      <w:r w:rsidRPr="00F315D4">
        <w:rPr>
          <w:sz w:val="22"/>
          <w:szCs w:val="22"/>
        </w:rPr>
        <w:t xml:space="preserve">The findings of this </w:t>
      </w:r>
      <w:r w:rsidR="00874EF8" w:rsidRPr="00F315D4">
        <w:rPr>
          <w:sz w:val="22"/>
          <w:szCs w:val="22"/>
        </w:rPr>
        <w:t>report are detailed below.</w:t>
      </w:r>
      <w:r w:rsidRPr="00F315D4">
        <w:rPr>
          <w:sz w:val="22"/>
          <w:szCs w:val="22"/>
        </w:rPr>
        <w:t xml:space="preserve"> </w:t>
      </w:r>
      <w:r w:rsidR="00874EF8" w:rsidRPr="00F315D4">
        <w:rPr>
          <w:sz w:val="22"/>
          <w:szCs w:val="22"/>
        </w:rPr>
        <w:t xml:space="preserve">Findings are divided into sections for </w:t>
      </w:r>
      <w:r w:rsidR="00252224" w:rsidRPr="00F315D4">
        <w:rPr>
          <w:sz w:val="22"/>
          <w:szCs w:val="22"/>
        </w:rPr>
        <w:t>the demographics of decedents, characteristics of the overdoses</w:t>
      </w:r>
      <w:r w:rsidR="00930EF5" w:rsidRPr="00F315D4">
        <w:rPr>
          <w:sz w:val="22"/>
          <w:szCs w:val="22"/>
        </w:rPr>
        <w:t>, and fatal opioid overdose rates.</w:t>
      </w:r>
      <w:bookmarkStart w:id="24" w:name="IDX"/>
      <w:bookmarkEnd w:id="24"/>
    </w:p>
    <w:p w14:paraId="68A89583" w14:textId="6565DCA4" w:rsidR="000C7E40" w:rsidRPr="00F315D4" w:rsidRDefault="00343393" w:rsidP="00183A2C">
      <w:pPr>
        <w:pStyle w:val="Heading2"/>
      </w:pPr>
      <w:bookmarkStart w:id="25" w:name="_Toc17788956"/>
      <w:r w:rsidRPr="00F315D4">
        <w:t>D</w:t>
      </w:r>
      <w:r w:rsidR="00751ADD">
        <w:t>EMOGRAPHICS</w:t>
      </w:r>
      <w:bookmarkEnd w:id="25"/>
    </w:p>
    <w:p w14:paraId="790C0AB5" w14:textId="2161E194" w:rsidR="00E6477C" w:rsidRPr="00F315D4" w:rsidRDefault="00015412" w:rsidP="001510AE">
      <w:pPr>
        <w:spacing w:after="220"/>
        <w:rPr>
          <w:sz w:val="22"/>
          <w:szCs w:val="22"/>
        </w:rPr>
      </w:pPr>
      <w:r w:rsidRPr="00F315D4">
        <w:rPr>
          <w:sz w:val="22"/>
          <w:szCs w:val="22"/>
        </w:rPr>
        <w:tab/>
      </w:r>
      <w:r w:rsidR="00AE09DC" w:rsidRPr="00F315D4">
        <w:rPr>
          <w:sz w:val="22"/>
          <w:szCs w:val="22"/>
        </w:rPr>
        <w:t xml:space="preserve">This section details the demographic breakdowns of all opioid overdose decedents in Florida’s reporting </w:t>
      </w:r>
      <w:r w:rsidR="00100AC0" w:rsidRPr="00F315D4">
        <w:rPr>
          <w:sz w:val="22"/>
          <w:szCs w:val="22"/>
        </w:rPr>
        <w:t>counties</w:t>
      </w:r>
      <w:r w:rsidR="00AE09DC" w:rsidRPr="00F315D4">
        <w:rPr>
          <w:sz w:val="22"/>
          <w:szCs w:val="22"/>
        </w:rPr>
        <w:t xml:space="preserve"> between </w:t>
      </w:r>
      <w:r w:rsidR="00541C1F" w:rsidRPr="00F315D4">
        <w:rPr>
          <w:sz w:val="22"/>
          <w:szCs w:val="22"/>
        </w:rPr>
        <w:t>January</w:t>
      </w:r>
      <w:r w:rsidR="00AE09DC" w:rsidRPr="00F315D4">
        <w:rPr>
          <w:sz w:val="22"/>
          <w:szCs w:val="22"/>
        </w:rPr>
        <w:t xml:space="preserve"> 1</w:t>
      </w:r>
      <w:r w:rsidR="00DD2EEB">
        <w:rPr>
          <w:sz w:val="22"/>
          <w:szCs w:val="22"/>
        </w:rPr>
        <w:t>,</w:t>
      </w:r>
      <w:r w:rsidR="00AE09DC" w:rsidRPr="00F315D4">
        <w:rPr>
          <w:sz w:val="22"/>
          <w:szCs w:val="22"/>
        </w:rPr>
        <w:t xml:space="preserve"> 2018 and </w:t>
      </w:r>
      <w:r w:rsidR="00B0137F" w:rsidRPr="00F315D4">
        <w:rPr>
          <w:sz w:val="22"/>
          <w:szCs w:val="22"/>
        </w:rPr>
        <w:t>June 30</w:t>
      </w:r>
      <w:r w:rsidR="00DD2EEB">
        <w:rPr>
          <w:sz w:val="22"/>
          <w:szCs w:val="22"/>
        </w:rPr>
        <w:t>,</w:t>
      </w:r>
      <w:r w:rsidR="00B0137F" w:rsidRPr="00F315D4">
        <w:rPr>
          <w:sz w:val="22"/>
          <w:szCs w:val="22"/>
        </w:rPr>
        <w:t xml:space="preserve"> 2018.</w:t>
      </w:r>
      <w:r w:rsidR="005304A8" w:rsidRPr="00F315D4">
        <w:rPr>
          <w:sz w:val="22"/>
          <w:szCs w:val="22"/>
        </w:rPr>
        <w:t xml:space="preserve"> Frequency and percentage values for all demographic variables are found in Table </w:t>
      </w:r>
      <w:r w:rsidR="003323F7" w:rsidRPr="00F315D4">
        <w:rPr>
          <w:sz w:val="22"/>
          <w:szCs w:val="22"/>
        </w:rPr>
        <w:t>4</w:t>
      </w:r>
      <w:r w:rsidR="005304A8" w:rsidRPr="00F315D4">
        <w:rPr>
          <w:sz w:val="22"/>
          <w:szCs w:val="22"/>
        </w:rPr>
        <w:t>.</w:t>
      </w:r>
      <w:r w:rsidR="00187B81" w:rsidRPr="00F315D4">
        <w:rPr>
          <w:sz w:val="22"/>
          <w:szCs w:val="22"/>
        </w:rPr>
        <w:t xml:space="preserve"> For the two biracial individuals, one reported their races as </w:t>
      </w:r>
      <w:r w:rsidR="00DD2EEB">
        <w:rPr>
          <w:sz w:val="22"/>
          <w:szCs w:val="22"/>
        </w:rPr>
        <w:t>b</w:t>
      </w:r>
      <w:r w:rsidR="00604CC0" w:rsidRPr="00F315D4">
        <w:rPr>
          <w:sz w:val="22"/>
          <w:szCs w:val="22"/>
        </w:rPr>
        <w:t xml:space="preserve">lack or African American and </w:t>
      </w:r>
      <w:r w:rsidR="00DD2EEB">
        <w:rPr>
          <w:sz w:val="22"/>
          <w:szCs w:val="22"/>
        </w:rPr>
        <w:t>w</w:t>
      </w:r>
      <w:r w:rsidR="00604CC0" w:rsidRPr="00F315D4">
        <w:rPr>
          <w:sz w:val="22"/>
          <w:szCs w:val="22"/>
        </w:rPr>
        <w:t xml:space="preserve">hite, while the other reported Asian and </w:t>
      </w:r>
      <w:r w:rsidR="00DD2EEB">
        <w:rPr>
          <w:sz w:val="22"/>
          <w:szCs w:val="22"/>
        </w:rPr>
        <w:t>w</w:t>
      </w:r>
      <w:r w:rsidR="00604CC0" w:rsidRPr="00F315D4">
        <w:rPr>
          <w:sz w:val="22"/>
          <w:szCs w:val="22"/>
        </w:rPr>
        <w:t xml:space="preserve">hite. </w:t>
      </w:r>
      <w:proofErr w:type="gramStart"/>
      <w:r w:rsidR="00683454" w:rsidRPr="00F315D4">
        <w:rPr>
          <w:sz w:val="22"/>
          <w:szCs w:val="22"/>
        </w:rPr>
        <w:t>A majority of</w:t>
      </w:r>
      <w:proofErr w:type="gramEnd"/>
      <w:r w:rsidR="00683454" w:rsidRPr="00F315D4">
        <w:rPr>
          <w:sz w:val="22"/>
          <w:szCs w:val="22"/>
        </w:rPr>
        <w:t xml:space="preserve"> </w:t>
      </w:r>
      <w:r w:rsidR="0043092E" w:rsidRPr="00F315D4">
        <w:rPr>
          <w:sz w:val="22"/>
          <w:szCs w:val="22"/>
        </w:rPr>
        <w:t>fatal opioid overdoses were</w:t>
      </w:r>
      <w:r w:rsidR="008B3025" w:rsidRPr="00F315D4">
        <w:rPr>
          <w:sz w:val="22"/>
          <w:szCs w:val="22"/>
        </w:rPr>
        <w:t xml:space="preserve"> in</w:t>
      </w:r>
      <w:r w:rsidR="0043092E" w:rsidRPr="00F315D4">
        <w:rPr>
          <w:sz w:val="22"/>
          <w:szCs w:val="22"/>
        </w:rPr>
        <w:t xml:space="preserve"> males, whites, and high school graduates. </w:t>
      </w:r>
      <w:r w:rsidR="008B3025" w:rsidRPr="00F315D4">
        <w:rPr>
          <w:sz w:val="22"/>
          <w:szCs w:val="22"/>
        </w:rPr>
        <w:t>Most fatal overdoses</w:t>
      </w:r>
      <w:r w:rsidR="00E6477C" w:rsidRPr="00F315D4">
        <w:rPr>
          <w:sz w:val="22"/>
          <w:szCs w:val="22"/>
        </w:rPr>
        <w:t xml:space="preserve"> </w:t>
      </w:r>
      <w:r w:rsidR="008B3025" w:rsidRPr="00F315D4">
        <w:rPr>
          <w:sz w:val="22"/>
          <w:szCs w:val="22"/>
        </w:rPr>
        <w:t xml:space="preserve">occurred in Florida residents as opposed to those </w:t>
      </w:r>
      <w:r w:rsidR="00D27250" w:rsidRPr="00F315D4">
        <w:rPr>
          <w:sz w:val="22"/>
          <w:szCs w:val="22"/>
        </w:rPr>
        <w:t>visiting the state.</w:t>
      </w:r>
    </w:p>
    <w:tbl>
      <w:tblPr>
        <w:tblStyle w:val="TableGrid"/>
        <w:tblW w:w="10080" w:type="dxa"/>
        <w:tblLayout w:type="fixed"/>
        <w:tblLook w:val="04A0" w:firstRow="1" w:lastRow="0" w:firstColumn="1" w:lastColumn="0" w:noHBand="0" w:noVBand="1"/>
      </w:tblPr>
      <w:tblGrid>
        <w:gridCol w:w="3960"/>
        <w:gridCol w:w="1710"/>
        <w:gridCol w:w="1170"/>
        <w:gridCol w:w="2160"/>
        <w:gridCol w:w="1080"/>
      </w:tblGrid>
      <w:tr w:rsidR="0064417A" w:rsidRPr="00051340" w14:paraId="1CAF640C" w14:textId="5D9A1041" w:rsidTr="006F42B4">
        <w:trPr>
          <w:trHeight w:val="360"/>
        </w:trPr>
        <w:tc>
          <w:tcPr>
            <w:tcW w:w="10080" w:type="dxa"/>
            <w:gridSpan w:val="5"/>
            <w:tcBorders>
              <w:top w:val="nil"/>
              <w:left w:val="nil"/>
              <w:bottom w:val="single" w:sz="36" w:space="0" w:color="auto"/>
              <w:right w:val="nil"/>
            </w:tcBorders>
          </w:tcPr>
          <w:p w14:paraId="7A6E7DDA" w14:textId="56430105" w:rsidR="0064417A" w:rsidRPr="00BC401D" w:rsidRDefault="0064417A" w:rsidP="00B907C8">
            <w:pPr>
              <w:spacing w:after="120"/>
              <w:rPr>
                <w:b/>
              </w:rPr>
            </w:pPr>
            <w:r w:rsidRPr="00BC401D">
              <w:rPr>
                <w:b/>
              </w:rPr>
              <w:t xml:space="preserve">Table </w:t>
            </w:r>
            <w:r w:rsidR="003323F7">
              <w:rPr>
                <w:b/>
              </w:rPr>
              <w:t>4</w:t>
            </w:r>
            <w:r w:rsidRPr="00BC401D">
              <w:rPr>
                <w:b/>
              </w:rPr>
              <w:t>: Demographic Variables</w:t>
            </w:r>
          </w:p>
        </w:tc>
      </w:tr>
      <w:tr w:rsidR="002F7B09" w:rsidRPr="00D47DDD" w14:paraId="74683FA5" w14:textId="09E86D71" w:rsidTr="006F42B4">
        <w:trPr>
          <w:trHeight w:val="360"/>
        </w:trPr>
        <w:tc>
          <w:tcPr>
            <w:tcW w:w="3960" w:type="dxa"/>
            <w:tcBorders>
              <w:top w:val="single" w:sz="36" w:space="0" w:color="auto"/>
              <w:left w:val="nil"/>
              <w:bottom w:val="single" w:sz="2" w:space="0" w:color="auto"/>
              <w:right w:val="nil"/>
            </w:tcBorders>
            <w:vAlign w:val="center"/>
          </w:tcPr>
          <w:p w14:paraId="0F9DD2A4" w14:textId="58C99909" w:rsidR="002F7B09" w:rsidRPr="0064417A" w:rsidRDefault="002F7B09" w:rsidP="00185B53">
            <w:pPr>
              <w:spacing w:after="0"/>
              <w:jc w:val="center"/>
              <w:rPr>
                <w:b/>
                <w:i/>
                <w:sz w:val="22"/>
              </w:rPr>
            </w:pPr>
            <w:r w:rsidRPr="0064417A">
              <w:rPr>
                <w:b/>
                <w:i/>
                <w:sz w:val="22"/>
              </w:rPr>
              <w:t>Variable</w:t>
            </w:r>
          </w:p>
        </w:tc>
        <w:tc>
          <w:tcPr>
            <w:tcW w:w="2880" w:type="dxa"/>
            <w:gridSpan w:val="2"/>
            <w:tcBorders>
              <w:top w:val="single" w:sz="36" w:space="0" w:color="auto"/>
              <w:left w:val="nil"/>
              <w:bottom w:val="single" w:sz="2" w:space="0" w:color="auto"/>
              <w:right w:val="nil"/>
            </w:tcBorders>
            <w:vAlign w:val="center"/>
          </w:tcPr>
          <w:p w14:paraId="34A68C7C" w14:textId="1DF37C34" w:rsidR="002F7B09" w:rsidRPr="00D47DDD" w:rsidRDefault="0064417A" w:rsidP="00185B53">
            <w:pPr>
              <w:spacing w:after="0"/>
              <w:jc w:val="center"/>
              <w:rPr>
                <w:rFonts w:eastAsia="Times New Roman"/>
                <w:b/>
                <w:i/>
                <w:sz w:val="22"/>
              </w:rPr>
            </w:pPr>
            <w:r>
              <w:rPr>
                <w:rFonts w:eastAsia="Times New Roman"/>
                <w:b/>
                <w:i/>
                <w:sz w:val="22"/>
              </w:rPr>
              <w:t>Frequency</w:t>
            </w:r>
          </w:p>
        </w:tc>
        <w:tc>
          <w:tcPr>
            <w:tcW w:w="3240" w:type="dxa"/>
            <w:gridSpan w:val="2"/>
            <w:tcBorders>
              <w:top w:val="single" w:sz="36" w:space="0" w:color="auto"/>
              <w:left w:val="nil"/>
              <w:bottom w:val="single" w:sz="2" w:space="0" w:color="auto"/>
              <w:right w:val="nil"/>
            </w:tcBorders>
            <w:vAlign w:val="center"/>
          </w:tcPr>
          <w:p w14:paraId="34BB457E" w14:textId="57C4D529" w:rsidR="002F7B09" w:rsidRPr="00D47DDD" w:rsidRDefault="0064417A" w:rsidP="00185B53">
            <w:pPr>
              <w:spacing w:after="0"/>
              <w:jc w:val="center"/>
              <w:rPr>
                <w:rFonts w:eastAsia="Times New Roman"/>
                <w:b/>
                <w:i/>
                <w:sz w:val="22"/>
              </w:rPr>
            </w:pPr>
            <w:r>
              <w:rPr>
                <w:rFonts w:eastAsia="Times New Roman"/>
                <w:b/>
                <w:i/>
                <w:sz w:val="22"/>
              </w:rPr>
              <w:t>Percent</w:t>
            </w:r>
          </w:p>
        </w:tc>
      </w:tr>
      <w:tr w:rsidR="0002294E" w:rsidRPr="00D47DDD" w14:paraId="051A0B9F" w14:textId="3F418835" w:rsidTr="006F42B4">
        <w:trPr>
          <w:trHeight w:val="288"/>
        </w:trPr>
        <w:tc>
          <w:tcPr>
            <w:tcW w:w="3960" w:type="dxa"/>
            <w:tcBorders>
              <w:top w:val="single" w:sz="2" w:space="0" w:color="auto"/>
              <w:left w:val="nil"/>
              <w:bottom w:val="nil"/>
              <w:right w:val="single" w:sz="4" w:space="0" w:color="auto"/>
            </w:tcBorders>
          </w:tcPr>
          <w:p w14:paraId="5E5E8B89" w14:textId="6F0A6AD4" w:rsidR="0002294E" w:rsidRPr="00713929" w:rsidRDefault="0002294E" w:rsidP="00B01E4F">
            <w:pPr>
              <w:spacing w:after="0"/>
              <w:rPr>
                <w:sz w:val="22"/>
              </w:rPr>
            </w:pPr>
            <w:r w:rsidRPr="00713929">
              <w:rPr>
                <w:sz w:val="22"/>
              </w:rPr>
              <w:t>Sex</w:t>
            </w:r>
          </w:p>
        </w:tc>
        <w:tc>
          <w:tcPr>
            <w:tcW w:w="1710" w:type="dxa"/>
            <w:tcBorders>
              <w:top w:val="single" w:sz="2" w:space="0" w:color="auto"/>
              <w:left w:val="single" w:sz="4" w:space="0" w:color="auto"/>
              <w:bottom w:val="nil"/>
              <w:right w:val="nil"/>
            </w:tcBorders>
          </w:tcPr>
          <w:p w14:paraId="2112E30B" w14:textId="77777777" w:rsidR="0002294E" w:rsidRPr="00D47DDD" w:rsidRDefault="0002294E" w:rsidP="00B907C8">
            <w:pPr>
              <w:spacing w:after="0"/>
              <w:rPr>
                <w:rFonts w:eastAsia="Times New Roman"/>
                <w:sz w:val="22"/>
              </w:rPr>
            </w:pPr>
          </w:p>
        </w:tc>
        <w:tc>
          <w:tcPr>
            <w:tcW w:w="1170" w:type="dxa"/>
            <w:tcBorders>
              <w:top w:val="single" w:sz="2" w:space="0" w:color="auto"/>
              <w:left w:val="nil"/>
              <w:bottom w:val="nil"/>
              <w:right w:val="nil"/>
            </w:tcBorders>
          </w:tcPr>
          <w:p w14:paraId="6C1BE481" w14:textId="331E00D6" w:rsidR="0002294E" w:rsidRPr="00D47DDD" w:rsidRDefault="0002294E" w:rsidP="00B907C8">
            <w:pPr>
              <w:spacing w:after="0"/>
              <w:rPr>
                <w:rFonts w:eastAsia="Times New Roman"/>
                <w:sz w:val="22"/>
              </w:rPr>
            </w:pPr>
          </w:p>
        </w:tc>
        <w:tc>
          <w:tcPr>
            <w:tcW w:w="2160" w:type="dxa"/>
            <w:tcBorders>
              <w:top w:val="single" w:sz="2" w:space="0" w:color="auto"/>
              <w:left w:val="nil"/>
              <w:bottom w:val="nil"/>
              <w:right w:val="nil"/>
            </w:tcBorders>
          </w:tcPr>
          <w:p w14:paraId="5659BA14" w14:textId="77777777" w:rsidR="0002294E" w:rsidRPr="00D47DDD" w:rsidRDefault="0002294E" w:rsidP="0002294E">
            <w:pPr>
              <w:spacing w:after="0"/>
              <w:jc w:val="right"/>
              <w:rPr>
                <w:rFonts w:eastAsia="Times New Roman"/>
                <w:sz w:val="22"/>
              </w:rPr>
            </w:pPr>
          </w:p>
        </w:tc>
        <w:tc>
          <w:tcPr>
            <w:tcW w:w="1080" w:type="dxa"/>
            <w:tcBorders>
              <w:top w:val="single" w:sz="2" w:space="0" w:color="auto"/>
              <w:left w:val="nil"/>
              <w:bottom w:val="nil"/>
              <w:right w:val="nil"/>
            </w:tcBorders>
          </w:tcPr>
          <w:p w14:paraId="50131CFD" w14:textId="778221DB" w:rsidR="0002294E" w:rsidRPr="00D47DDD" w:rsidRDefault="0002294E" w:rsidP="00B907C8">
            <w:pPr>
              <w:spacing w:after="0"/>
              <w:rPr>
                <w:rFonts w:eastAsia="Times New Roman"/>
                <w:sz w:val="22"/>
              </w:rPr>
            </w:pPr>
          </w:p>
        </w:tc>
      </w:tr>
      <w:tr w:rsidR="0002294E" w:rsidRPr="00D47DDD" w14:paraId="512E0507" w14:textId="564F8F40" w:rsidTr="006F42B4">
        <w:trPr>
          <w:trHeight w:val="288"/>
        </w:trPr>
        <w:tc>
          <w:tcPr>
            <w:tcW w:w="3960" w:type="dxa"/>
            <w:tcBorders>
              <w:top w:val="nil"/>
              <w:left w:val="nil"/>
              <w:bottom w:val="nil"/>
              <w:right w:val="single" w:sz="4" w:space="0" w:color="auto"/>
            </w:tcBorders>
          </w:tcPr>
          <w:p w14:paraId="533C95D2" w14:textId="037790FC" w:rsidR="0002294E" w:rsidRPr="00713929" w:rsidRDefault="0002294E" w:rsidP="00B01E4F">
            <w:pPr>
              <w:spacing w:after="0"/>
              <w:rPr>
                <w:i/>
                <w:sz w:val="22"/>
              </w:rPr>
            </w:pPr>
            <w:r w:rsidRPr="00713929">
              <w:rPr>
                <w:i/>
                <w:sz w:val="22"/>
              </w:rPr>
              <w:t xml:space="preserve">     Female</w:t>
            </w:r>
          </w:p>
        </w:tc>
        <w:tc>
          <w:tcPr>
            <w:tcW w:w="1710" w:type="dxa"/>
            <w:tcBorders>
              <w:top w:val="nil"/>
              <w:left w:val="single" w:sz="4" w:space="0" w:color="auto"/>
              <w:bottom w:val="nil"/>
              <w:right w:val="nil"/>
            </w:tcBorders>
          </w:tcPr>
          <w:p w14:paraId="50F3419B" w14:textId="77777777" w:rsidR="0002294E" w:rsidRPr="00D47DDD" w:rsidRDefault="0002294E" w:rsidP="008A39F7">
            <w:pPr>
              <w:spacing w:after="0"/>
              <w:jc w:val="right"/>
              <w:rPr>
                <w:rFonts w:eastAsia="Times New Roman"/>
                <w:sz w:val="22"/>
              </w:rPr>
            </w:pPr>
            <w:r>
              <w:rPr>
                <w:rFonts w:eastAsia="Times New Roman"/>
                <w:sz w:val="22"/>
              </w:rPr>
              <w:t>375</w:t>
            </w:r>
          </w:p>
        </w:tc>
        <w:tc>
          <w:tcPr>
            <w:tcW w:w="1170" w:type="dxa"/>
            <w:tcBorders>
              <w:top w:val="nil"/>
              <w:left w:val="nil"/>
              <w:bottom w:val="nil"/>
              <w:right w:val="nil"/>
            </w:tcBorders>
          </w:tcPr>
          <w:p w14:paraId="564C88EE" w14:textId="4E849FCC"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1A515B42" w14:textId="77777777" w:rsidR="0002294E" w:rsidRPr="00D47DDD" w:rsidRDefault="0002294E" w:rsidP="0002294E">
            <w:pPr>
              <w:spacing w:after="0"/>
              <w:jc w:val="right"/>
              <w:rPr>
                <w:rFonts w:eastAsia="Times New Roman"/>
                <w:sz w:val="22"/>
              </w:rPr>
            </w:pPr>
            <w:r>
              <w:rPr>
                <w:rFonts w:eastAsia="Times New Roman"/>
                <w:sz w:val="22"/>
              </w:rPr>
              <w:t>30.64%</w:t>
            </w:r>
          </w:p>
        </w:tc>
        <w:tc>
          <w:tcPr>
            <w:tcW w:w="1080" w:type="dxa"/>
            <w:tcBorders>
              <w:top w:val="nil"/>
              <w:left w:val="nil"/>
              <w:bottom w:val="nil"/>
              <w:right w:val="nil"/>
            </w:tcBorders>
          </w:tcPr>
          <w:p w14:paraId="45377F70" w14:textId="67614999" w:rsidR="0002294E" w:rsidRPr="00D47DDD" w:rsidRDefault="0002294E" w:rsidP="00713929">
            <w:pPr>
              <w:spacing w:after="0"/>
              <w:jc w:val="center"/>
              <w:rPr>
                <w:rFonts w:eastAsia="Times New Roman"/>
                <w:sz w:val="22"/>
              </w:rPr>
            </w:pPr>
          </w:p>
        </w:tc>
      </w:tr>
      <w:tr w:rsidR="0002294E" w:rsidRPr="00D47DDD" w14:paraId="6C856417" w14:textId="3D378236" w:rsidTr="006F42B4">
        <w:trPr>
          <w:trHeight w:val="288"/>
        </w:trPr>
        <w:tc>
          <w:tcPr>
            <w:tcW w:w="3960" w:type="dxa"/>
            <w:tcBorders>
              <w:top w:val="nil"/>
              <w:left w:val="nil"/>
              <w:bottom w:val="nil"/>
              <w:right w:val="single" w:sz="4" w:space="0" w:color="auto"/>
            </w:tcBorders>
          </w:tcPr>
          <w:p w14:paraId="6D83ACF7" w14:textId="482B2AF3" w:rsidR="0002294E" w:rsidRPr="00713929" w:rsidRDefault="0002294E" w:rsidP="00B01E4F">
            <w:pPr>
              <w:spacing w:after="0"/>
              <w:rPr>
                <w:i/>
                <w:sz w:val="22"/>
              </w:rPr>
            </w:pPr>
            <w:r w:rsidRPr="00713929">
              <w:rPr>
                <w:i/>
                <w:sz w:val="22"/>
              </w:rPr>
              <w:t xml:space="preserve">     Male</w:t>
            </w:r>
          </w:p>
        </w:tc>
        <w:tc>
          <w:tcPr>
            <w:tcW w:w="1710" w:type="dxa"/>
            <w:tcBorders>
              <w:top w:val="nil"/>
              <w:left w:val="single" w:sz="4" w:space="0" w:color="auto"/>
              <w:bottom w:val="nil"/>
              <w:right w:val="nil"/>
            </w:tcBorders>
          </w:tcPr>
          <w:p w14:paraId="26E1A683" w14:textId="77777777" w:rsidR="0002294E" w:rsidRPr="00D47DDD" w:rsidRDefault="0002294E" w:rsidP="008A39F7">
            <w:pPr>
              <w:spacing w:after="0"/>
              <w:jc w:val="right"/>
              <w:rPr>
                <w:rFonts w:eastAsia="Times New Roman"/>
                <w:sz w:val="22"/>
              </w:rPr>
            </w:pPr>
            <w:r>
              <w:rPr>
                <w:rFonts w:eastAsia="Times New Roman"/>
                <w:sz w:val="22"/>
              </w:rPr>
              <w:t>849</w:t>
            </w:r>
          </w:p>
        </w:tc>
        <w:tc>
          <w:tcPr>
            <w:tcW w:w="1170" w:type="dxa"/>
            <w:tcBorders>
              <w:top w:val="nil"/>
              <w:left w:val="nil"/>
              <w:bottom w:val="nil"/>
              <w:right w:val="nil"/>
            </w:tcBorders>
          </w:tcPr>
          <w:p w14:paraId="6F8F6E3F" w14:textId="1F0F3E9C"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6DDF24B3" w14:textId="77777777" w:rsidR="0002294E" w:rsidRPr="00D47DDD" w:rsidRDefault="0002294E" w:rsidP="0002294E">
            <w:pPr>
              <w:spacing w:after="0"/>
              <w:jc w:val="right"/>
              <w:rPr>
                <w:rFonts w:eastAsia="Times New Roman"/>
                <w:sz w:val="22"/>
              </w:rPr>
            </w:pPr>
            <w:r>
              <w:rPr>
                <w:rFonts w:eastAsia="Times New Roman"/>
                <w:sz w:val="22"/>
              </w:rPr>
              <w:t>69.36%</w:t>
            </w:r>
          </w:p>
        </w:tc>
        <w:tc>
          <w:tcPr>
            <w:tcW w:w="1080" w:type="dxa"/>
            <w:tcBorders>
              <w:top w:val="nil"/>
              <w:left w:val="nil"/>
              <w:bottom w:val="nil"/>
              <w:right w:val="nil"/>
            </w:tcBorders>
          </w:tcPr>
          <w:p w14:paraId="158B17FA" w14:textId="2F0BAC56" w:rsidR="0002294E" w:rsidRPr="00D47DDD" w:rsidRDefault="0002294E" w:rsidP="00713929">
            <w:pPr>
              <w:spacing w:after="0"/>
              <w:jc w:val="center"/>
              <w:rPr>
                <w:rFonts w:eastAsia="Times New Roman"/>
                <w:sz w:val="22"/>
              </w:rPr>
            </w:pPr>
          </w:p>
        </w:tc>
      </w:tr>
      <w:tr w:rsidR="0002294E" w:rsidRPr="00D47DDD" w14:paraId="23A3F8B4" w14:textId="6FC6082A" w:rsidTr="006F42B4">
        <w:trPr>
          <w:trHeight w:val="288"/>
        </w:trPr>
        <w:tc>
          <w:tcPr>
            <w:tcW w:w="3960" w:type="dxa"/>
            <w:tcBorders>
              <w:top w:val="nil"/>
              <w:left w:val="nil"/>
              <w:bottom w:val="nil"/>
              <w:right w:val="single" w:sz="4" w:space="0" w:color="auto"/>
            </w:tcBorders>
          </w:tcPr>
          <w:p w14:paraId="545DB446" w14:textId="50D3540E" w:rsidR="0002294E" w:rsidRPr="00713929" w:rsidRDefault="0002294E" w:rsidP="00B01E4F">
            <w:pPr>
              <w:spacing w:after="0"/>
              <w:rPr>
                <w:sz w:val="22"/>
              </w:rPr>
            </w:pPr>
            <w:r w:rsidRPr="00713929">
              <w:rPr>
                <w:sz w:val="22"/>
              </w:rPr>
              <w:t>Race/Ethnicity</w:t>
            </w:r>
          </w:p>
        </w:tc>
        <w:tc>
          <w:tcPr>
            <w:tcW w:w="1710" w:type="dxa"/>
            <w:tcBorders>
              <w:top w:val="nil"/>
              <w:left w:val="single" w:sz="4" w:space="0" w:color="auto"/>
              <w:bottom w:val="nil"/>
              <w:right w:val="nil"/>
            </w:tcBorders>
          </w:tcPr>
          <w:p w14:paraId="70580596" w14:textId="77777777" w:rsidR="0002294E" w:rsidRPr="00D47DDD" w:rsidRDefault="0002294E" w:rsidP="008A39F7">
            <w:pPr>
              <w:spacing w:after="0"/>
              <w:jc w:val="right"/>
              <w:rPr>
                <w:rFonts w:eastAsia="Times New Roman"/>
                <w:sz w:val="22"/>
              </w:rPr>
            </w:pPr>
          </w:p>
        </w:tc>
        <w:tc>
          <w:tcPr>
            <w:tcW w:w="1170" w:type="dxa"/>
            <w:tcBorders>
              <w:top w:val="nil"/>
              <w:left w:val="nil"/>
              <w:bottom w:val="nil"/>
              <w:right w:val="nil"/>
            </w:tcBorders>
          </w:tcPr>
          <w:p w14:paraId="29D9CD41" w14:textId="60C7E98F"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56096C42" w14:textId="77777777" w:rsidR="0002294E" w:rsidRPr="00D47DDD" w:rsidRDefault="0002294E" w:rsidP="0002294E">
            <w:pPr>
              <w:spacing w:after="0"/>
              <w:jc w:val="right"/>
              <w:rPr>
                <w:rFonts w:eastAsia="Times New Roman"/>
                <w:sz w:val="22"/>
              </w:rPr>
            </w:pPr>
          </w:p>
        </w:tc>
        <w:tc>
          <w:tcPr>
            <w:tcW w:w="1080" w:type="dxa"/>
            <w:tcBorders>
              <w:top w:val="nil"/>
              <w:left w:val="nil"/>
              <w:bottom w:val="nil"/>
              <w:right w:val="nil"/>
            </w:tcBorders>
          </w:tcPr>
          <w:p w14:paraId="1B342048" w14:textId="31F66EE7" w:rsidR="0002294E" w:rsidRPr="00D47DDD" w:rsidRDefault="0002294E" w:rsidP="00713929">
            <w:pPr>
              <w:spacing w:after="0"/>
              <w:jc w:val="center"/>
              <w:rPr>
                <w:rFonts w:eastAsia="Times New Roman"/>
                <w:sz w:val="22"/>
              </w:rPr>
            </w:pPr>
          </w:p>
        </w:tc>
      </w:tr>
      <w:tr w:rsidR="0002294E" w:rsidRPr="00D47DDD" w14:paraId="7E92374D" w14:textId="3A9EA2E3" w:rsidTr="006F42B4">
        <w:trPr>
          <w:trHeight w:val="288"/>
        </w:trPr>
        <w:tc>
          <w:tcPr>
            <w:tcW w:w="3960" w:type="dxa"/>
            <w:tcBorders>
              <w:top w:val="nil"/>
              <w:left w:val="nil"/>
              <w:bottom w:val="nil"/>
              <w:right w:val="single" w:sz="4" w:space="0" w:color="auto"/>
            </w:tcBorders>
          </w:tcPr>
          <w:p w14:paraId="30359C95" w14:textId="0DEC1999" w:rsidR="0002294E" w:rsidRPr="00713929" w:rsidRDefault="0002294E" w:rsidP="00B01E4F">
            <w:pPr>
              <w:spacing w:after="0"/>
              <w:rPr>
                <w:i/>
                <w:color w:val="FFFFFF" w:themeColor="background1"/>
                <w:sz w:val="22"/>
              </w:rPr>
            </w:pPr>
            <w:r w:rsidRPr="00713929">
              <w:rPr>
                <w:i/>
                <w:sz w:val="22"/>
              </w:rPr>
              <w:t xml:space="preserve">     White</w:t>
            </w:r>
          </w:p>
        </w:tc>
        <w:tc>
          <w:tcPr>
            <w:tcW w:w="1710" w:type="dxa"/>
            <w:tcBorders>
              <w:top w:val="nil"/>
              <w:left w:val="single" w:sz="4" w:space="0" w:color="auto"/>
              <w:bottom w:val="nil"/>
              <w:right w:val="nil"/>
            </w:tcBorders>
          </w:tcPr>
          <w:p w14:paraId="3F3F7142" w14:textId="4D4DFF31" w:rsidR="0002294E" w:rsidRPr="00D47DDD" w:rsidRDefault="0002294E" w:rsidP="008A39F7">
            <w:pPr>
              <w:spacing w:after="0"/>
              <w:jc w:val="right"/>
              <w:rPr>
                <w:rFonts w:eastAsia="Times New Roman"/>
                <w:sz w:val="22"/>
              </w:rPr>
            </w:pPr>
            <w:r>
              <w:rPr>
                <w:rFonts w:eastAsia="Times New Roman"/>
                <w:sz w:val="22"/>
              </w:rPr>
              <w:t>98</w:t>
            </w:r>
            <w:r w:rsidR="00351581">
              <w:rPr>
                <w:rFonts w:eastAsia="Times New Roman"/>
                <w:sz w:val="22"/>
              </w:rPr>
              <w:t>0</w:t>
            </w:r>
          </w:p>
        </w:tc>
        <w:tc>
          <w:tcPr>
            <w:tcW w:w="1170" w:type="dxa"/>
            <w:tcBorders>
              <w:top w:val="nil"/>
              <w:left w:val="nil"/>
              <w:bottom w:val="nil"/>
              <w:right w:val="nil"/>
            </w:tcBorders>
          </w:tcPr>
          <w:p w14:paraId="13C4C3A4" w14:textId="4DDD562A"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62379D3C" w14:textId="0796AAA9" w:rsidR="0002294E" w:rsidRPr="00D47DDD" w:rsidRDefault="0002294E" w:rsidP="0002294E">
            <w:pPr>
              <w:spacing w:after="0"/>
              <w:jc w:val="right"/>
              <w:rPr>
                <w:rFonts w:eastAsia="Times New Roman"/>
                <w:sz w:val="22"/>
              </w:rPr>
            </w:pPr>
            <w:r>
              <w:rPr>
                <w:rFonts w:eastAsia="Times New Roman"/>
                <w:sz w:val="22"/>
              </w:rPr>
              <w:t>80.</w:t>
            </w:r>
            <w:r w:rsidR="00351581">
              <w:rPr>
                <w:rFonts w:eastAsia="Times New Roman"/>
                <w:sz w:val="22"/>
              </w:rPr>
              <w:t>07</w:t>
            </w:r>
            <w:r>
              <w:rPr>
                <w:rFonts w:eastAsia="Times New Roman"/>
                <w:sz w:val="22"/>
              </w:rPr>
              <w:t>%</w:t>
            </w:r>
          </w:p>
        </w:tc>
        <w:tc>
          <w:tcPr>
            <w:tcW w:w="1080" w:type="dxa"/>
            <w:tcBorders>
              <w:top w:val="nil"/>
              <w:left w:val="nil"/>
              <w:bottom w:val="nil"/>
              <w:right w:val="nil"/>
            </w:tcBorders>
          </w:tcPr>
          <w:p w14:paraId="72DBBDC5" w14:textId="2FA82F9E" w:rsidR="0002294E" w:rsidRPr="00D47DDD" w:rsidRDefault="0002294E" w:rsidP="00713929">
            <w:pPr>
              <w:spacing w:after="0"/>
              <w:jc w:val="center"/>
              <w:rPr>
                <w:rFonts w:eastAsia="Times New Roman"/>
                <w:sz w:val="22"/>
              </w:rPr>
            </w:pPr>
          </w:p>
        </w:tc>
      </w:tr>
      <w:tr w:rsidR="0002294E" w:rsidRPr="00D47DDD" w14:paraId="3B853614" w14:textId="3D8483DF" w:rsidTr="006F42B4">
        <w:trPr>
          <w:trHeight w:val="288"/>
        </w:trPr>
        <w:tc>
          <w:tcPr>
            <w:tcW w:w="3960" w:type="dxa"/>
            <w:tcBorders>
              <w:top w:val="nil"/>
              <w:left w:val="nil"/>
              <w:bottom w:val="nil"/>
              <w:right w:val="single" w:sz="4" w:space="0" w:color="auto"/>
            </w:tcBorders>
          </w:tcPr>
          <w:p w14:paraId="4A60852D" w14:textId="5D9E4CFC" w:rsidR="0002294E" w:rsidRPr="00713929" w:rsidRDefault="0002294E" w:rsidP="00B01E4F">
            <w:pPr>
              <w:spacing w:after="0"/>
              <w:rPr>
                <w:i/>
                <w:sz w:val="22"/>
              </w:rPr>
            </w:pPr>
            <w:r w:rsidRPr="00713929">
              <w:rPr>
                <w:i/>
                <w:sz w:val="22"/>
              </w:rPr>
              <w:t xml:space="preserve">     Hispanic</w:t>
            </w:r>
            <w:r w:rsidR="00187B81">
              <w:rPr>
                <w:i/>
                <w:sz w:val="22"/>
              </w:rPr>
              <w:t xml:space="preserve"> or Latino</w:t>
            </w:r>
          </w:p>
        </w:tc>
        <w:tc>
          <w:tcPr>
            <w:tcW w:w="1710" w:type="dxa"/>
            <w:tcBorders>
              <w:top w:val="nil"/>
              <w:left w:val="single" w:sz="4" w:space="0" w:color="auto"/>
              <w:bottom w:val="nil"/>
              <w:right w:val="nil"/>
            </w:tcBorders>
          </w:tcPr>
          <w:p w14:paraId="06366543" w14:textId="77777777" w:rsidR="0002294E" w:rsidRPr="00D47DDD" w:rsidRDefault="0002294E" w:rsidP="008A39F7">
            <w:pPr>
              <w:spacing w:after="0"/>
              <w:jc w:val="right"/>
              <w:rPr>
                <w:rFonts w:eastAsia="Times New Roman"/>
                <w:sz w:val="22"/>
              </w:rPr>
            </w:pPr>
            <w:r>
              <w:rPr>
                <w:rFonts w:eastAsia="Times New Roman"/>
                <w:sz w:val="22"/>
              </w:rPr>
              <w:t>162</w:t>
            </w:r>
          </w:p>
        </w:tc>
        <w:tc>
          <w:tcPr>
            <w:tcW w:w="1170" w:type="dxa"/>
            <w:tcBorders>
              <w:top w:val="nil"/>
              <w:left w:val="nil"/>
              <w:bottom w:val="nil"/>
              <w:right w:val="nil"/>
            </w:tcBorders>
          </w:tcPr>
          <w:p w14:paraId="73E1E117" w14:textId="25CB6034"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5761C0D7" w14:textId="77777777" w:rsidR="0002294E" w:rsidRPr="00D47DDD" w:rsidRDefault="0002294E" w:rsidP="0002294E">
            <w:pPr>
              <w:spacing w:after="0"/>
              <w:jc w:val="right"/>
              <w:rPr>
                <w:rFonts w:eastAsia="Times New Roman"/>
                <w:sz w:val="22"/>
              </w:rPr>
            </w:pPr>
            <w:r>
              <w:rPr>
                <w:rFonts w:eastAsia="Times New Roman"/>
                <w:sz w:val="22"/>
              </w:rPr>
              <w:t>13.24%</w:t>
            </w:r>
          </w:p>
        </w:tc>
        <w:tc>
          <w:tcPr>
            <w:tcW w:w="1080" w:type="dxa"/>
            <w:tcBorders>
              <w:top w:val="nil"/>
              <w:left w:val="nil"/>
              <w:bottom w:val="nil"/>
              <w:right w:val="nil"/>
            </w:tcBorders>
          </w:tcPr>
          <w:p w14:paraId="1FC3DC14" w14:textId="63EB5D28" w:rsidR="0002294E" w:rsidRPr="00D47DDD" w:rsidRDefault="0002294E" w:rsidP="00713929">
            <w:pPr>
              <w:spacing w:after="0"/>
              <w:jc w:val="center"/>
              <w:rPr>
                <w:rFonts w:eastAsia="Times New Roman"/>
                <w:sz w:val="22"/>
              </w:rPr>
            </w:pPr>
          </w:p>
        </w:tc>
      </w:tr>
      <w:tr w:rsidR="0002294E" w:rsidRPr="00D47DDD" w14:paraId="6F47F6D0" w14:textId="6F55C777" w:rsidTr="006F42B4">
        <w:trPr>
          <w:trHeight w:val="288"/>
        </w:trPr>
        <w:tc>
          <w:tcPr>
            <w:tcW w:w="3960" w:type="dxa"/>
            <w:tcBorders>
              <w:top w:val="nil"/>
              <w:left w:val="nil"/>
              <w:bottom w:val="nil"/>
              <w:right w:val="single" w:sz="4" w:space="0" w:color="auto"/>
            </w:tcBorders>
          </w:tcPr>
          <w:p w14:paraId="00786786" w14:textId="1EE57C9C" w:rsidR="0002294E" w:rsidRPr="00713929" w:rsidRDefault="0002294E" w:rsidP="00B01E4F">
            <w:pPr>
              <w:spacing w:after="0"/>
              <w:rPr>
                <w:i/>
                <w:sz w:val="22"/>
              </w:rPr>
            </w:pPr>
            <w:r w:rsidRPr="00713929">
              <w:rPr>
                <w:i/>
                <w:sz w:val="22"/>
              </w:rPr>
              <w:t xml:space="preserve">     Black</w:t>
            </w:r>
            <w:r w:rsidR="00187B81">
              <w:rPr>
                <w:i/>
                <w:sz w:val="22"/>
              </w:rPr>
              <w:t xml:space="preserve"> or African American</w:t>
            </w:r>
          </w:p>
        </w:tc>
        <w:tc>
          <w:tcPr>
            <w:tcW w:w="1710" w:type="dxa"/>
            <w:tcBorders>
              <w:top w:val="nil"/>
              <w:left w:val="single" w:sz="4" w:space="0" w:color="auto"/>
              <w:bottom w:val="nil"/>
              <w:right w:val="nil"/>
            </w:tcBorders>
          </w:tcPr>
          <w:p w14:paraId="5675D9C1" w14:textId="77777777" w:rsidR="0002294E" w:rsidRPr="00D47DDD" w:rsidRDefault="0002294E" w:rsidP="008A39F7">
            <w:pPr>
              <w:spacing w:after="0"/>
              <w:jc w:val="right"/>
              <w:rPr>
                <w:rFonts w:eastAsia="Times New Roman"/>
                <w:sz w:val="22"/>
              </w:rPr>
            </w:pPr>
            <w:r>
              <w:rPr>
                <w:rFonts w:eastAsia="Times New Roman"/>
                <w:sz w:val="22"/>
              </w:rPr>
              <w:t>69</w:t>
            </w:r>
          </w:p>
        </w:tc>
        <w:tc>
          <w:tcPr>
            <w:tcW w:w="1170" w:type="dxa"/>
            <w:tcBorders>
              <w:top w:val="nil"/>
              <w:left w:val="nil"/>
              <w:bottom w:val="nil"/>
              <w:right w:val="nil"/>
            </w:tcBorders>
          </w:tcPr>
          <w:p w14:paraId="26283362" w14:textId="45332742"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358DB069" w14:textId="77777777" w:rsidR="0002294E" w:rsidRPr="00D47DDD" w:rsidRDefault="0002294E" w:rsidP="0002294E">
            <w:pPr>
              <w:spacing w:after="0"/>
              <w:jc w:val="right"/>
              <w:rPr>
                <w:rFonts w:eastAsia="Times New Roman"/>
                <w:sz w:val="22"/>
              </w:rPr>
            </w:pPr>
            <w:r>
              <w:rPr>
                <w:rFonts w:eastAsia="Times New Roman"/>
                <w:sz w:val="22"/>
              </w:rPr>
              <w:t>5.64%</w:t>
            </w:r>
          </w:p>
        </w:tc>
        <w:tc>
          <w:tcPr>
            <w:tcW w:w="1080" w:type="dxa"/>
            <w:tcBorders>
              <w:top w:val="nil"/>
              <w:left w:val="nil"/>
              <w:bottom w:val="nil"/>
              <w:right w:val="nil"/>
            </w:tcBorders>
          </w:tcPr>
          <w:p w14:paraId="48D207DB" w14:textId="478E34D5" w:rsidR="0002294E" w:rsidRPr="00D47DDD" w:rsidRDefault="0002294E" w:rsidP="00713929">
            <w:pPr>
              <w:spacing w:after="0"/>
              <w:jc w:val="center"/>
              <w:rPr>
                <w:rFonts w:eastAsia="Times New Roman"/>
                <w:sz w:val="22"/>
              </w:rPr>
            </w:pPr>
          </w:p>
        </w:tc>
      </w:tr>
      <w:tr w:rsidR="0002294E" w:rsidRPr="00D47DDD" w14:paraId="5FD79E9D" w14:textId="0F9B3D28" w:rsidTr="006F42B4">
        <w:trPr>
          <w:trHeight w:val="288"/>
        </w:trPr>
        <w:tc>
          <w:tcPr>
            <w:tcW w:w="3960" w:type="dxa"/>
            <w:tcBorders>
              <w:top w:val="nil"/>
              <w:left w:val="nil"/>
              <w:bottom w:val="nil"/>
              <w:right w:val="single" w:sz="4" w:space="0" w:color="auto"/>
            </w:tcBorders>
          </w:tcPr>
          <w:p w14:paraId="36D48874" w14:textId="3F5321FB" w:rsidR="0002294E" w:rsidRPr="00713929" w:rsidRDefault="0002294E" w:rsidP="00B01E4F">
            <w:pPr>
              <w:spacing w:after="0"/>
              <w:rPr>
                <w:i/>
                <w:sz w:val="22"/>
              </w:rPr>
            </w:pPr>
            <w:r w:rsidRPr="00713929">
              <w:rPr>
                <w:i/>
                <w:sz w:val="22"/>
              </w:rPr>
              <w:t xml:space="preserve">     Asian</w:t>
            </w:r>
          </w:p>
        </w:tc>
        <w:tc>
          <w:tcPr>
            <w:tcW w:w="1710" w:type="dxa"/>
            <w:tcBorders>
              <w:top w:val="nil"/>
              <w:left w:val="single" w:sz="4" w:space="0" w:color="auto"/>
              <w:bottom w:val="nil"/>
              <w:right w:val="nil"/>
            </w:tcBorders>
          </w:tcPr>
          <w:p w14:paraId="40BAAA09" w14:textId="77777777" w:rsidR="0002294E" w:rsidRPr="00D47DDD" w:rsidRDefault="0002294E" w:rsidP="008A39F7">
            <w:pPr>
              <w:spacing w:after="0"/>
              <w:jc w:val="right"/>
              <w:rPr>
                <w:rFonts w:eastAsia="Times New Roman"/>
                <w:sz w:val="22"/>
              </w:rPr>
            </w:pPr>
            <w:r>
              <w:rPr>
                <w:rFonts w:eastAsia="Times New Roman"/>
                <w:sz w:val="22"/>
              </w:rPr>
              <w:t>5</w:t>
            </w:r>
          </w:p>
        </w:tc>
        <w:tc>
          <w:tcPr>
            <w:tcW w:w="1170" w:type="dxa"/>
            <w:tcBorders>
              <w:top w:val="nil"/>
              <w:left w:val="nil"/>
              <w:bottom w:val="nil"/>
              <w:right w:val="nil"/>
            </w:tcBorders>
          </w:tcPr>
          <w:p w14:paraId="1283A82E" w14:textId="61D197D5"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777017C5" w14:textId="77777777" w:rsidR="0002294E" w:rsidRPr="00D47DDD" w:rsidRDefault="0002294E" w:rsidP="0002294E">
            <w:pPr>
              <w:spacing w:after="0"/>
              <w:jc w:val="right"/>
              <w:rPr>
                <w:rFonts w:eastAsia="Times New Roman"/>
                <w:sz w:val="22"/>
              </w:rPr>
            </w:pPr>
            <w:r>
              <w:rPr>
                <w:rFonts w:eastAsia="Times New Roman"/>
                <w:sz w:val="22"/>
              </w:rPr>
              <w:t>0.41%</w:t>
            </w:r>
          </w:p>
        </w:tc>
        <w:tc>
          <w:tcPr>
            <w:tcW w:w="1080" w:type="dxa"/>
            <w:tcBorders>
              <w:top w:val="nil"/>
              <w:left w:val="nil"/>
              <w:bottom w:val="nil"/>
              <w:right w:val="nil"/>
            </w:tcBorders>
          </w:tcPr>
          <w:p w14:paraId="5185D17E" w14:textId="37920254" w:rsidR="0002294E" w:rsidRPr="00D47DDD" w:rsidRDefault="0002294E" w:rsidP="00713929">
            <w:pPr>
              <w:spacing w:after="0"/>
              <w:jc w:val="center"/>
              <w:rPr>
                <w:rFonts w:eastAsia="Times New Roman"/>
                <w:sz w:val="22"/>
              </w:rPr>
            </w:pPr>
          </w:p>
        </w:tc>
      </w:tr>
      <w:tr w:rsidR="0002294E" w:rsidRPr="00D47DDD" w14:paraId="781C9599" w14:textId="77777777" w:rsidTr="006F42B4">
        <w:trPr>
          <w:trHeight w:val="288"/>
        </w:trPr>
        <w:tc>
          <w:tcPr>
            <w:tcW w:w="3960" w:type="dxa"/>
            <w:tcBorders>
              <w:top w:val="nil"/>
              <w:left w:val="nil"/>
              <w:bottom w:val="nil"/>
              <w:right w:val="single" w:sz="4" w:space="0" w:color="auto"/>
            </w:tcBorders>
          </w:tcPr>
          <w:p w14:paraId="69C6C775" w14:textId="2D173979" w:rsidR="0002294E" w:rsidRPr="00713929" w:rsidRDefault="0002294E" w:rsidP="00B01E4F">
            <w:pPr>
              <w:spacing w:after="0"/>
              <w:rPr>
                <w:i/>
                <w:sz w:val="22"/>
              </w:rPr>
            </w:pPr>
            <w:r w:rsidRPr="00713929">
              <w:rPr>
                <w:i/>
                <w:sz w:val="22"/>
              </w:rPr>
              <w:t xml:space="preserve">     American Indian</w:t>
            </w:r>
            <w:r w:rsidR="00604CC0">
              <w:rPr>
                <w:i/>
                <w:sz w:val="22"/>
              </w:rPr>
              <w:t xml:space="preserve"> or Alaska Native</w:t>
            </w:r>
          </w:p>
        </w:tc>
        <w:tc>
          <w:tcPr>
            <w:tcW w:w="1710" w:type="dxa"/>
            <w:tcBorders>
              <w:top w:val="nil"/>
              <w:left w:val="single" w:sz="4" w:space="0" w:color="auto"/>
              <w:bottom w:val="nil"/>
              <w:right w:val="nil"/>
            </w:tcBorders>
          </w:tcPr>
          <w:p w14:paraId="33F1015D" w14:textId="77777777" w:rsidR="0002294E" w:rsidRPr="00D47DDD" w:rsidRDefault="0002294E" w:rsidP="008A39F7">
            <w:pPr>
              <w:spacing w:after="0"/>
              <w:jc w:val="right"/>
              <w:rPr>
                <w:rFonts w:eastAsia="Times New Roman"/>
                <w:sz w:val="22"/>
              </w:rPr>
            </w:pPr>
            <w:r>
              <w:rPr>
                <w:rFonts w:eastAsia="Times New Roman"/>
                <w:sz w:val="22"/>
              </w:rPr>
              <w:t>1</w:t>
            </w:r>
          </w:p>
        </w:tc>
        <w:tc>
          <w:tcPr>
            <w:tcW w:w="1170" w:type="dxa"/>
            <w:tcBorders>
              <w:top w:val="nil"/>
              <w:left w:val="nil"/>
              <w:bottom w:val="nil"/>
              <w:right w:val="nil"/>
            </w:tcBorders>
          </w:tcPr>
          <w:p w14:paraId="09DEBEBB" w14:textId="75FADCAE"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7367941C" w14:textId="77777777" w:rsidR="0002294E" w:rsidRPr="00D47DDD" w:rsidRDefault="0002294E" w:rsidP="0002294E">
            <w:pPr>
              <w:spacing w:after="0"/>
              <w:jc w:val="right"/>
              <w:rPr>
                <w:rFonts w:eastAsia="Times New Roman"/>
                <w:sz w:val="22"/>
              </w:rPr>
            </w:pPr>
            <w:r>
              <w:rPr>
                <w:rFonts w:eastAsia="Times New Roman"/>
                <w:sz w:val="22"/>
              </w:rPr>
              <w:t>0.08%</w:t>
            </w:r>
          </w:p>
        </w:tc>
        <w:tc>
          <w:tcPr>
            <w:tcW w:w="1080" w:type="dxa"/>
            <w:tcBorders>
              <w:top w:val="nil"/>
              <w:left w:val="nil"/>
              <w:bottom w:val="nil"/>
              <w:right w:val="nil"/>
            </w:tcBorders>
          </w:tcPr>
          <w:p w14:paraId="4147BCA3" w14:textId="27E76703" w:rsidR="0002294E" w:rsidRPr="00D47DDD" w:rsidRDefault="0002294E" w:rsidP="00713929">
            <w:pPr>
              <w:spacing w:after="0"/>
              <w:jc w:val="center"/>
              <w:rPr>
                <w:rFonts w:eastAsia="Times New Roman"/>
                <w:sz w:val="22"/>
              </w:rPr>
            </w:pPr>
          </w:p>
        </w:tc>
      </w:tr>
      <w:tr w:rsidR="00351581" w:rsidRPr="00D47DDD" w14:paraId="5CEA0031" w14:textId="77777777" w:rsidTr="006F42B4">
        <w:trPr>
          <w:trHeight w:val="288"/>
        </w:trPr>
        <w:tc>
          <w:tcPr>
            <w:tcW w:w="3960" w:type="dxa"/>
            <w:tcBorders>
              <w:top w:val="nil"/>
              <w:left w:val="nil"/>
              <w:bottom w:val="nil"/>
              <w:right w:val="single" w:sz="4" w:space="0" w:color="auto"/>
            </w:tcBorders>
          </w:tcPr>
          <w:p w14:paraId="467E6790" w14:textId="73CE1B2B" w:rsidR="00351581" w:rsidRPr="00713929" w:rsidRDefault="00351581" w:rsidP="00B01E4F">
            <w:pPr>
              <w:spacing w:after="0"/>
              <w:rPr>
                <w:i/>
                <w:sz w:val="22"/>
              </w:rPr>
            </w:pPr>
            <w:r>
              <w:rPr>
                <w:i/>
                <w:sz w:val="22"/>
              </w:rPr>
              <w:t xml:space="preserve">     Multiracial</w:t>
            </w:r>
          </w:p>
        </w:tc>
        <w:tc>
          <w:tcPr>
            <w:tcW w:w="1710" w:type="dxa"/>
            <w:tcBorders>
              <w:top w:val="nil"/>
              <w:left w:val="single" w:sz="4" w:space="0" w:color="auto"/>
              <w:bottom w:val="nil"/>
              <w:right w:val="nil"/>
            </w:tcBorders>
          </w:tcPr>
          <w:p w14:paraId="7A57E3DD" w14:textId="44F5257A" w:rsidR="00351581" w:rsidRDefault="00351581" w:rsidP="008A39F7">
            <w:pPr>
              <w:spacing w:after="0"/>
              <w:jc w:val="right"/>
              <w:rPr>
                <w:rFonts w:eastAsia="Times New Roman"/>
                <w:sz w:val="22"/>
              </w:rPr>
            </w:pPr>
            <w:r>
              <w:rPr>
                <w:rFonts w:eastAsia="Times New Roman"/>
                <w:sz w:val="22"/>
              </w:rPr>
              <w:t>2</w:t>
            </w:r>
          </w:p>
        </w:tc>
        <w:tc>
          <w:tcPr>
            <w:tcW w:w="1170" w:type="dxa"/>
            <w:tcBorders>
              <w:top w:val="nil"/>
              <w:left w:val="nil"/>
              <w:bottom w:val="nil"/>
              <w:right w:val="nil"/>
            </w:tcBorders>
          </w:tcPr>
          <w:p w14:paraId="18CD8C59" w14:textId="77777777" w:rsidR="00351581" w:rsidRPr="00D47DDD" w:rsidRDefault="00351581" w:rsidP="00713929">
            <w:pPr>
              <w:spacing w:after="0"/>
              <w:jc w:val="center"/>
              <w:rPr>
                <w:rFonts w:eastAsia="Times New Roman"/>
                <w:sz w:val="22"/>
              </w:rPr>
            </w:pPr>
          </w:p>
        </w:tc>
        <w:tc>
          <w:tcPr>
            <w:tcW w:w="2160" w:type="dxa"/>
            <w:tcBorders>
              <w:top w:val="nil"/>
              <w:left w:val="nil"/>
              <w:bottom w:val="nil"/>
              <w:right w:val="nil"/>
            </w:tcBorders>
          </w:tcPr>
          <w:p w14:paraId="208DFDF0" w14:textId="6E50D5F9" w:rsidR="00351581" w:rsidRDefault="00351581" w:rsidP="0002294E">
            <w:pPr>
              <w:spacing w:after="0"/>
              <w:jc w:val="right"/>
              <w:rPr>
                <w:rFonts w:eastAsia="Times New Roman"/>
                <w:sz w:val="22"/>
              </w:rPr>
            </w:pPr>
            <w:r>
              <w:rPr>
                <w:rFonts w:eastAsia="Times New Roman"/>
                <w:sz w:val="22"/>
              </w:rPr>
              <w:t>0.16%</w:t>
            </w:r>
          </w:p>
        </w:tc>
        <w:tc>
          <w:tcPr>
            <w:tcW w:w="1080" w:type="dxa"/>
            <w:tcBorders>
              <w:top w:val="nil"/>
              <w:left w:val="nil"/>
              <w:bottom w:val="nil"/>
              <w:right w:val="nil"/>
            </w:tcBorders>
          </w:tcPr>
          <w:p w14:paraId="02539E3B" w14:textId="77777777" w:rsidR="00351581" w:rsidRPr="00D47DDD" w:rsidRDefault="00351581" w:rsidP="00713929">
            <w:pPr>
              <w:spacing w:after="0"/>
              <w:jc w:val="center"/>
              <w:rPr>
                <w:rFonts w:eastAsia="Times New Roman"/>
                <w:sz w:val="22"/>
              </w:rPr>
            </w:pPr>
          </w:p>
        </w:tc>
      </w:tr>
      <w:tr w:rsidR="0002294E" w:rsidRPr="00D47DDD" w14:paraId="165FD5C4" w14:textId="77777777" w:rsidTr="006F42B4">
        <w:trPr>
          <w:trHeight w:val="288"/>
        </w:trPr>
        <w:tc>
          <w:tcPr>
            <w:tcW w:w="3960" w:type="dxa"/>
            <w:tcBorders>
              <w:top w:val="nil"/>
              <w:left w:val="nil"/>
              <w:bottom w:val="nil"/>
              <w:right w:val="single" w:sz="4" w:space="0" w:color="auto"/>
            </w:tcBorders>
          </w:tcPr>
          <w:p w14:paraId="38FA2739" w14:textId="664A69B5" w:rsidR="0002294E" w:rsidRPr="00713929" w:rsidRDefault="0002294E" w:rsidP="00FC74F4">
            <w:pPr>
              <w:spacing w:after="0"/>
              <w:rPr>
                <w:i/>
                <w:sz w:val="22"/>
              </w:rPr>
            </w:pPr>
            <w:r w:rsidRPr="00713929">
              <w:rPr>
                <w:i/>
                <w:sz w:val="22"/>
              </w:rPr>
              <w:t xml:space="preserve">     </w:t>
            </w:r>
            <w:r>
              <w:rPr>
                <w:i/>
                <w:sz w:val="22"/>
              </w:rPr>
              <w:t>Unknown</w:t>
            </w:r>
          </w:p>
        </w:tc>
        <w:tc>
          <w:tcPr>
            <w:tcW w:w="1710" w:type="dxa"/>
            <w:tcBorders>
              <w:top w:val="nil"/>
              <w:left w:val="single" w:sz="4" w:space="0" w:color="auto"/>
              <w:bottom w:val="nil"/>
              <w:right w:val="nil"/>
            </w:tcBorders>
          </w:tcPr>
          <w:p w14:paraId="20746E31" w14:textId="77777777" w:rsidR="0002294E" w:rsidRDefault="0002294E" w:rsidP="008A39F7">
            <w:pPr>
              <w:spacing w:after="0"/>
              <w:jc w:val="right"/>
              <w:rPr>
                <w:rFonts w:eastAsia="Times New Roman"/>
                <w:sz w:val="22"/>
              </w:rPr>
            </w:pPr>
            <w:r>
              <w:rPr>
                <w:rFonts w:eastAsia="Times New Roman"/>
                <w:sz w:val="22"/>
              </w:rPr>
              <w:t>5</w:t>
            </w:r>
          </w:p>
        </w:tc>
        <w:tc>
          <w:tcPr>
            <w:tcW w:w="1170" w:type="dxa"/>
            <w:tcBorders>
              <w:top w:val="nil"/>
              <w:left w:val="nil"/>
              <w:bottom w:val="nil"/>
              <w:right w:val="nil"/>
            </w:tcBorders>
          </w:tcPr>
          <w:p w14:paraId="6FBF9AA2" w14:textId="78D863AA" w:rsidR="0002294E" w:rsidRDefault="0002294E" w:rsidP="00FC74F4">
            <w:pPr>
              <w:spacing w:after="0"/>
              <w:jc w:val="center"/>
              <w:rPr>
                <w:rFonts w:eastAsia="Times New Roman"/>
                <w:sz w:val="22"/>
              </w:rPr>
            </w:pPr>
          </w:p>
        </w:tc>
        <w:tc>
          <w:tcPr>
            <w:tcW w:w="2160" w:type="dxa"/>
            <w:tcBorders>
              <w:top w:val="nil"/>
              <w:left w:val="nil"/>
              <w:bottom w:val="nil"/>
              <w:right w:val="nil"/>
            </w:tcBorders>
          </w:tcPr>
          <w:p w14:paraId="1538E69D" w14:textId="77777777" w:rsidR="0002294E" w:rsidRDefault="0002294E" w:rsidP="0002294E">
            <w:pPr>
              <w:spacing w:after="0"/>
              <w:jc w:val="right"/>
              <w:rPr>
                <w:rFonts w:eastAsia="Times New Roman"/>
                <w:sz w:val="22"/>
              </w:rPr>
            </w:pPr>
            <w:r>
              <w:rPr>
                <w:rFonts w:eastAsia="Times New Roman"/>
                <w:sz w:val="22"/>
              </w:rPr>
              <w:t>0.41%</w:t>
            </w:r>
          </w:p>
        </w:tc>
        <w:tc>
          <w:tcPr>
            <w:tcW w:w="1080" w:type="dxa"/>
            <w:tcBorders>
              <w:top w:val="nil"/>
              <w:left w:val="nil"/>
              <w:bottom w:val="nil"/>
              <w:right w:val="nil"/>
            </w:tcBorders>
          </w:tcPr>
          <w:p w14:paraId="249C2C65" w14:textId="67B49159" w:rsidR="0002294E" w:rsidRDefault="0002294E" w:rsidP="00FC74F4">
            <w:pPr>
              <w:spacing w:after="0"/>
              <w:jc w:val="center"/>
              <w:rPr>
                <w:rFonts w:eastAsia="Times New Roman"/>
                <w:sz w:val="22"/>
              </w:rPr>
            </w:pPr>
          </w:p>
        </w:tc>
      </w:tr>
      <w:tr w:rsidR="00B304A5" w:rsidRPr="00D47DDD" w14:paraId="56DC1B88" w14:textId="77777777" w:rsidTr="006F42B4">
        <w:trPr>
          <w:trHeight w:val="288"/>
        </w:trPr>
        <w:tc>
          <w:tcPr>
            <w:tcW w:w="3960" w:type="dxa"/>
            <w:tcBorders>
              <w:top w:val="nil"/>
              <w:left w:val="nil"/>
              <w:bottom w:val="nil"/>
              <w:right w:val="single" w:sz="4" w:space="0" w:color="auto"/>
            </w:tcBorders>
          </w:tcPr>
          <w:p w14:paraId="7305B118" w14:textId="5229C78E" w:rsidR="00B12204" w:rsidRDefault="00B12204" w:rsidP="00FC74F4">
            <w:pPr>
              <w:spacing w:after="0"/>
              <w:rPr>
                <w:sz w:val="22"/>
              </w:rPr>
            </w:pPr>
            <w:r>
              <w:rPr>
                <w:sz w:val="22"/>
              </w:rPr>
              <w:t>Age</w:t>
            </w:r>
          </w:p>
        </w:tc>
        <w:tc>
          <w:tcPr>
            <w:tcW w:w="1710" w:type="dxa"/>
            <w:tcBorders>
              <w:top w:val="nil"/>
              <w:left w:val="single" w:sz="4" w:space="0" w:color="auto"/>
              <w:bottom w:val="nil"/>
              <w:right w:val="nil"/>
            </w:tcBorders>
          </w:tcPr>
          <w:p w14:paraId="3C67DDFB" w14:textId="77777777" w:rsidR="00B304A5" w:rsidRDefault="00B304A5" w:rsidP="008A39F7">
            <w:pPr>
              <w:spacing w:after="0"/>
              <w:jc w:val="right"/>
              <w:rPr>
                <w:rFonts w:eastAsia="Times New Roman"/>
                <w:sz w:val="22"/>
              </w:rPr>
            </w:pPr>
          </w:p>
        </w:tc>
        <w:tc>
          <w:tcPr>
            <w:tcW w:w="1170" w:type="dxa"/>
            <w:tcBorders>
              <w:top w:val="nil"/>
              <w:left w:val="nil"/>
              <w:bottom w:val="nil"/>
              <w:right w:val="nil"/>
            </w:tcBorders>
          </w:tcPr>
          <w:p w14:paraId="77BBAE30" w14:textId="77777777" w:rsidR="00B304A5" w:rsidRDefault="00B304A5" w:rsidP="00FC74F4">
            <w:pPr>
              <w:spacing w:after="0"/>
              <w:jc w:val="center"/>
              <w:rPr>
                <w:rFonts w:eastAsia="Times New Roman"/>
                <w:sz w:val="22"/>
              </w:rPr>
            </w:pPr>
          </w:p>
        </w:tc>
        <w:tc>
          <w:tcPr>
            <w:tcW w:w="2160" w:type="dxa"/>
            <w:tcBorders>
              <w:top w:val="nil"/>
              <w:left w:val="nil"/>
              <w:bottom w:val="nil"/>
              <w:right w:val="nil"/>
            </w:tcBorders>
          </w:tcPr>
          <w:p w14:paraId="761656A1" w14:textId="77777777" w:rsidR="00B304A5" w:rsidRDefault="00B304A5" w:rsidP="0002294E">
            <w:pPr>
              <w:spacing w:after="0"/>
              <w:jc w:val="right"/>
              <w:rPr>
                <w:rFonts w:eastAsia="Times New Roman"/>
                <w:sz w:val="22"/>
              </w:rPr>
            </w:pPr>
          </w:p>
        </w:tc>
        <w:tc>
          <w:tcPr>
            <w:tcW w:w="1080" w:type="dxa"/>
            <w:tcBorders>
              <w:top w:val="nil"/>
              <w:left w:val="nil"/>
              <w:bottom w:val="nil"/>
              <w:right w:val="nil"/>
            </w:tcBorders>
          </w:tcPr>
          <w:p w14:paraId="52064D9B" w14:textId="77777777" w:rsidR="00B304A5" w:rsidRDefault="00B304A5" w:rsidP="00FC74F4">
            <w:pPr>
              <w:spacing w:after="0"/>
              <w:jc w:val="center"/>
              <w:rPr>
                <w:rFonts w:eastAsia="Times New Roman"/>
                <w:sz w:val="22"/>
              </w:rPr>
            </w:pPr>
          </w:p>
        </w:tc>
      </w:tr>
      <w:tr w:rsidR="00C04936" w:rsidRPr="00D47DDD" w14:paraId="20AC27FD" w14:textId="77777777" w:rsidTr="00917DED">
        <w:trPr>
          <w:trHeight w:val="288"/>
        </w:trPr>
        <w:tc>
          <w:tcPr>
            <w:tcW w:w="3960" w:type="dxa"/>
            <w:tcBorders>
              <w:top w:val="nil"/>
              <w:left w:val="nil"/>
              <w:bottom w:val="nil"/>
              <w:right w:val="single" w:sz="4" w:space="0" w:color="auto"/>
            </w:tcBorders>
            <w:vAlign w:val="center"/>
          </w:tcPr>
          <w:p w14:paraId="31F645E2" w14:textId="612141DA" w:rsidR="00C04936" w:rsidRPr="00DE76E5" w:rsidRDefault="00832201" w:rsidP="00917DED">
            <w:pPr>
              <w:spacing w:after="0"/>
              <w:rPr>
                <w:i/>
                <w:sz w:val="22"/>
              </w:rPr>
            </w:pPr>
            <w:r w:rsidRPr="00DE76E5">
              <w:rPr>
                <w:i/>
                <w:sz w:val="22"/>
              </w:rPr>
              <w:t xml:space="preserve">     10</w:t>
            </w:r>
            <w:r w:rsidR="00917DED">
              <w:rPr>
                <w:rFonts w:ascii="Times New Roman" w:hAnsi="Times New Roman" w:cs="Times New Roman"/>
              </w:rPr>
              <w:t>–</w:t>
            </w:r>
            <w:r w:rsidRPr="00DE76E5">
              <w:rPr>
                <w:i/>
                <w:sz w:val="22"/>
              </w:rPr>
              <w:t>14</w:t>
            </w:r>
          </w:p>
        </w:tc>
        <w:tc>
          <w:tcPr>
            <w:tcW w:w="1710" w:type="dxa"/>
            <w:tcBorders>
              <w:top w:val="nil"/>
              <w:left w:val="single" w:sz="4" w:space="0" w:color="auto"/>
              <w:bottom w:val="nil"/>
              <w:right w:val="nil"/>
            </w:tcBorders>
          </w:tcPr>
          <w:p w14:paraId="4FE3CEB6" w14:textId="2D567E45" w:rsidR="00C04936" w:rsidRDefault="00B66C80" w:rsidP="008A39F7">
            <w:pPr>
              <w:spacing w:after="0"/>
              <w:jc w:val="right"/>
              <w:rPr>
                <w:rFonts w:eastAsia="Times New Roman"/>
                <w:sz w:val="22"/>
              </w:rPr>
            </w:pPr>
            <w:r>
              <w:rPr>
                <w:rFonts w:eastAsia="Times New Roman"/>
                <w:sz w:val="22"/>
              </w:rPr>
              <w:t>0</w:t>
            </w:r>
          </w:p>
        </w:tc>
        <w:tc>
          <w:tcPr>
            <w:tcW w:w="1170" w:type="dxa"/>
            <w:tcBorders>
              <w:top w:val="nil"/>
              <w:left w:val="nil"/>
              <w:bottom w:val="nil"/>
              <w:right w:val="nil"/>
            </w:tcBorders>
          </w:tcPr>
          <w:p w14:paraId="717E0444" w14:textId="77777777" w:rsidR="00C04936" w:rsidRDefault="00C04936" w:rsidP="00FC74F4">
            <w:pPr>
              <w:spacing w:after="0"/>
              <w:jc w:val="center"/>
              <w:rPr>
                <w:rFonts w:eastAsia="Times New Roman"/>
                <w:sz w:val="22"/>
              </w:rPr>
            </w:pPr>
          </w:p>
        </w:tc>
        <w:tc>
          <w:tcPr>
            <w:tcW w:w="2160" w:type="dxa"/>
            <w:tcBorders>
              <w:top w:val="nil"/>
              <w:left w:val="nil"/>
              <w:bottom w:val="nil"/>
              <w:right w:val="nil"/>
            </w:tcBorders>
          </w:tcPr>
          <w:p w14:paraId="0A7690FA" w14:textId="0650AAF1" w:rsidR="00C04936" w:rsidRDefault="007F1A4D" w:rsidP="0002294E">
            <w:pPr>
              <w:spacing w:after="0"/>
              <w:jc w:val="right"/>
              <w:rPr>
                <w:rFonts w:eastAsia="Times New Roman"/>
                <w:sz w:val="22"/>
              </w:rPr>
            </w:pPr>
            <w:r>
              <w:rPr>
                <w:rFonts w:eastAsia="Times New Roman"/>
                <w:sz w:val="22"/>
              </w:rPr>
              <w:t>0%</w:t>
            </w:r>
          </w:p>
        </w:tc>
        <w:tc>
          <w:tcPr>
            <w:tcW w:w="1080" w:type="dxa"/>
            <w:tcBorders>
              <w:top w:val="nil"/>
              <w:left w:val="nil"/>
              <w:bottom w:val="nil"/>
              <w:right w:val="nil"/>
            </w:tcBorders>
          </w:tcPr>
          <w:p w14:paraId="01A48C6F" w14:textId="77777777" w:rsidR="00C04936" w:rsidRDefault="00C04936" w:rsidP="00FC74F4">
            <w:pPr>
              <w:spacing w:after="0"/>
              <w:jc w:val="center"/>
              <w:rPr>
                <w:rFonts w:eastAsia="Times New Roman"/>
                <w:sz w:val="22"/>
              </w:rPr>
            </w:pPr>
          </w:p>
        </w:tc>
      </w:tr>
      <w:tr w:rsidR="007F1A4D" w:rsidRPr="00D47DDD" w14:paraId="5E4D4E9C" w14:textId="77777777" w:rsidTr="00917DED">
        <w:trPr>
          <w:trHeight w:val="288"/>
        </w:trPr>
        <w:tc>
          <w:tcPr>
            <w:tcW w:w="3960" w:type="dxa"/>
            <w:tcBorders>
              <w:top w:val="nil"/>
              <w:left w:val="nil"/>
              <w:bottom w:val="nil"/>
              <w:right w:val="single" w:sz="4" w:space="0" w:color="auto"/>
            </w:tcBorders>
            <w:vAlign w:val="center"/>
          </w:tcPr>
          <w:p w14:paraId="551923A5" w14:textId="100BFE2E" w:rsidR="007F1A4D" w:rsidRPr="00DE76E5" w:rsidRDefault="007F1A4D" w:rsidP="00917DED">
            <w:pPr>
              <w:spacing w:after="0"/>
              <w:rPr>
                <w:i/>
                <w:sz w:val="22"/>
              </w:rPr>
            </w:pPr>
            <w:r w:rsidRPr="00DE76E5">
              <w:rPr>
                <w:i/>
                <w:sz w:val="22"/>
              </w:rPr>
              <w:t xml:space="preserve">     15</w:t>
            </w:r>
            <w:r w:rsidR="00917DED">
              <w:rPr>
                <w:rFonts w:ascii="Times New Roman" w:hAnsi="Times New Roman" w:cs="Times New Roman"/>
              </w:rPr>
              <w:t>–</w:t>
            </w:r>
            <w:r w:rsidRPr="00DE76E5">
              <w:rPr>
                <w:i/>
                <w:sz w:val="22"/>
              </w:rPr>
              <w:t>24</w:t>
            </w:r>
          </w:p>
        </w:tc>
        <w:tc>
          <w:tcPr>
            <w:tcW w:w="1710" w:type="dxa"/>
            <w:tcBorders>
              <w:top w:val="nil"/>
              <w:left w:val="single" w:sz="4" w:space="0" w:color="auto"/>
              <w:bottom w:val="nil"/>
              <w:right w:val="nil"/>
            </w:tcBorders>
          </w:tcPr>
          <w:p w14:paraId="407958B8" w14:textId="56359BC9" w:rsidR="007F1A4D" w:rsidRDefault="007F1A4D" w:rsidP="007F1A4D">
            <w:pPr>
              <w:spacing w:after="0"/>
              <w:jc w:val="right"/>
              <w:rPr>
                <w:rFonts w:eastAsia="Times New Roman"/>
                <w:sz w:val="22"/>
              </w:rPr>
            </w:pPr>
            <w:r>
              <w:rPr>
                <w:rFonts w:eastAsia="Times New Roman"/>
                <w:sz w:val="22"/>
              </w:rPr>
              <w:t>80</w:t>
            </w:r>
          </w:p>
        </w:tc>
        <w:tc>
          <w:tcPr>
            <w:tcW w:w="1170" w:type="dxa"/>
            <w:tcBorders>
              <w:top w:val="nil"/>
              <w:left w:val="nil"/>
              <w:bottom w:val="nil"/>
              <w:right w:val="nil"/>
            </w:tcBorders>
          </w:tcPr>
          <w:p w14:paraId="0A4D5447"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53A6DB91" w14:textId="28DBB791" w:rsidR="007F1A4D" w:rsidRDefault="007F1A4D" w:rsidP="007F1A4D">
            <w:pPr>
              <w:spacing w:after="0"/>
              <w:jc w:val="right"/>
              <w:rPr>
                <w:rFonts w:eastAsia="Times New Roman"/>
                <w:sz w:val="22"/>
              </w:rPr>
            </w:pPr>
            <w:r>
              <w:rPr>
                <w:rFonts w:eastAsia="Times New Roman"/>
                <w:sz w:val="22"/>
              </w:rPr>
              <w:t>6.54%</w:t>
            </w:r>
          </w:p>
        </w:tc>
        <w:tc>
          <w:tcPr>
            <w:tcW w:w="1080" w:type="dxa"/>
            <w:tcBorders>
              <w:top w:val="nil"/>
              <w:left w:val="nil"/>
              <w:bottom w:val="nil"/>
              <w:right w:val="nil"/>
            </w:tcBorders>
          </w:tcPr>
          <w:p w14:paraId="43423739" w14:textId="77777777" w:rsidR="007F1A4D" w:rsidRDefault="007F1A4D" w:rsidP="007F1A4D">
            <w:pPr>
              <w:spacing w:after="0"/>
              <w:jc w:val="center"/>
              <w:rPr>
                <w:rFonts w:eastAsia="Times New Roman"/>
                <w:sz w:val="22"/>
              </w:rPr>
            </w:pPr>
          </w:p>
        </w:tc>
      </w:tr>
      <w:tr w:rsidR="007F1A4D" w:rsidRPr="00D47DDD" w14:paraId="4A6D7A03" w14:textId="77777777" w:rsidTr="00917DED">
        <w:trPr>
          <w:trHeight w:val="288"/>
        </w:trPr>
        <w:tc>
          <w:tcPr>
            <w:tcW w:w="3960" w:type="dxa"/>
            <w:tcBorders>
              <w:top w:val="nil"/>
              <w:left w:val="nil"/>
              <w:bottom w:val="nil"/>
              <w:right w:val="single" w:sz="4" w:space="0" w:color="auto"/>
            </w:tcBorders>
            <w:vAlign w:val="center"/>
          </w:tcPr>
          <w:p w14:paraId="56CDACC2" w14:textId="4E0C1C1F" w:rsidR="007F1A4D" w:rsidRPr="00DE76E5" w:rsidRDefault="007F1A4D" w:rsidP="00917DED">
            <w:pPr>
              <w:spacing w:after="0"/>
              <w:rPr>
                <w:i/>
                <w:sz w:val="22"/>
              </w:rPr>
            </w:pPr>
            <w:r w:rsidRPr="00DE76E5">
              <w:rPr>
                <w:i/>
                <w:sz w:val="22"/>
              </w:rPr>
              <w:t xml:space="preserve">     25</w:t>
            </w:r>
            <w:r w:rsidR="00917DED">
              <w:rPr>
                <w:rFonts w:ascii="Times New Roman" w:hAnsi="Times New Roman" w:cs="Times New Roman"/>
              </w:rPr>
              <w:t>–</w:t>
            </w:r>
            <w:r w:rsidRPr="00DE76E5">
              <w:rPr>
                <w:i/>
                <w:sz w:val="22"/>
              </w:rPr>
              <w:t>34</w:t>
            </w:r>
          </w:p>
        </w:tc>
        <w:tc>
          <w:tcPr>
            <w:tcW w:w="1710" w:type="dxa"/>
            <w:tcBorders>
              <w:top w:val="nil"/>
              <w:left w:val="single" w:sz="4" w:space="0" w:color="auto"/>
              <w:bottom w:val="nil"/>
              <w:right w:val="nil"/>
            </w:tcBorders>
          </w:tcPr>
          <w:p w14:paraId="2B697282" w14:textId="0C081C75" w:rsidR="007F1A4D" w:rsidRDefault="007F1A4D" w:rsidP="007F1A4D">
            <w:pPr>
              <w:spacing w:after="0"/>
              <w:jc w:val="right"/>
              <w:rPr>
                <w:rFonts w:eastAsia="Times New Roman"/>
                <w:sz w:val="22"/>
              </w:rPr>
            </w:pPr>
            <w:r>
              <w:rPr>
                <w:rFonts w:eastAsia="Times New Roman"/>
                <w:sz w:val="22"/>
              </w:rPr>
              <w:t>350</w:t>
            </w:r>
          </w:p>
        </w:tc>
        <w:tc>
          <w:tcPr>
            <w:tcW w:w="1170" w:type="dxa"/>
            <w:tcBorders>
              <w:top w:val="nil"/>
              <w:left w:val="nil"/>
              <w:bottom w:val="nil"/>
              <w:right w:val="nil"/>
            </w:tcBorders>
          </w:tcPr>
          <w:p w14:paraId="075AAB83"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3C72829A" w14:textId="101DEE8D" w:rsidR="007F1A4D" w:rsidRDefault="007F1A4D" w:rsidP="007F1A4D">
            <w:pPr>
              <w:spacing w:after="0"/>
              <w:jc w:val="right"/>
              <w:rPr>
                <w:rFonts w:eastAsia="Times New Roman"/>
                <w:sz w:val="22"/>
              </w:rPr>
            </w:pPr>
            <w:r>
              <w:rPr>
                <w:rFonts w:eastAsia="Times New Roman"/>
                <w:sz w:val="22"/>
              </w:rPr>
              <w:t>28.59%</w:t>
            </w:r>
          </w:p>
        </w:tc>
        <w:tc>
          <w:tcPr>
            <w:tcW w:w="1080" w:type="dxa"/>
            <w:tcBorders>
              <w:top w:val="nil"/>
              <w:left w:val="nil"/>
              <w:bottom w:val="nil"/>
              <w:right w:val="nil"/>
            </w:tcBorders>
          </w:tcPr>
          <w:p w14:paraId="100928C3" w14:textId="77777777" w:rsidR="007F1A4D" w:rsidRDefault="007F1A4D" w:rsidP="007F1A4D">
            <w:pPr>
              <w:spacing w:after="0"/>
              <w:jc w:val="center"/>
              <w:rPr>
                <w:rFonts w:eastAsia="Times New Roman"/>
                <w:sz w:val="22"/>
              </w:rPr>
            </w:pPr>
          </w:p>
        </w:tc>
      </w:tr>
      <w:tr w:rsidR="007F1A4D" w:rsidRPr="00D47DDD" w14:paraId="63461FC3" w14:textId="77777777" w:rsidTr="00917DED">
        <w:trPr>
          <w:trHeight w:val="288"/>
        </w:trPr>
        <w:tc>
          <w:tcPr>
            <w:tcW w:w="3960" w:type="dxa"/>
            <w:tcBorders>
              <w:top w:val="nil"/>
              <w:left w:val="nil"/>
              <w:bottom w:val="nil"/>
              <w:right w:val="single" w:sz="4" w:space="0" w:color="auto"/>
            </w:tcBorders>
            <w:vAlign w:val="center"/>
          </w:tcPr>
          <w:p w14:paraId="64EE8F44" w14:textId="242F04BC" w:rsidR="007F1A4D" w:rsidRPr="00DE76E5" w:rsidRDefault="007F1A4D" w:rsidP="00917DED">
            <w:pPr>
              <w:spacing w:after="0"/>
              <w:rPr>
                <w:i/>
                <w:sz w:val="22"/>
              </w:rPr>
            </w:pPr>
            <w:r w:rsidRPr="00DE76E5">
              <w:rPr>
                <w:i/>
                <w:sz w:val="22"/>
              </w:rPr>
              <w:t xml:space="preserve">     35</w:t>
            </w:r>
            <w:r w:rsidR="00917DED">
              <w:rPr>
                <w:rFonts w:ascii="Times New Roman" w:hAnsi="Times New Roman" w:cs="Times New Roman"/>
              </w:rPr>
              <w:t>–</w:t>
            </w:r>
            <w:r w:rsidRPr="00DE76E5">
              <w:rPr>
                <w:i/>
                <w:sz w:val="22"/>
              </w:rPr>
              <w:t>44</w:t>
            </w:r>
          </w:p>
        </w:tc>
        <w:tc>
          <w:tcPr>
            <w:tcW w:w="1710" w:type="dxa"/>
            <w:tcBorders>
              <w:top w:val="nil"/>
              <w:left w:val="single" w:sz="4" w:space="0" w:color="auto"/>
              <w:bottom w:val="nil"/>
              <w:right w:val="nil"/>
            </w:tcBorders>
          </w:tcPr>
          <w:p w14:paraId="2EFB1D2A" w14:textId="53C7FA1F" w:rsidR="007F1A4D" w:rsidRDefault="007F1A4D" w:rsidP="007F1A4D">
            <w:pPr>
              <w:spacing w:after="0"/>
              <w:jc w:val="right"/>
              <w:rPr>
                <w:rFonts w:eastAsia="Times New Roman"/>
                <w:sz w:val="22"/>
              </w:rPr>
            </w:pPr>
            <w:r>
              <w:rPr>
                <w:rFonts w:eastAsia="Times New Roman"/>
                <w:sz w:val="22"/>
              </w:rPr>
              <w:t>336</w:t>
            </w:r>
          </w:p>
        </w:tc>
        <w:tc>
          <w:tcPr>
            <w:tcW w:w="1170" w:type="dxa"/>
            <w:tcBorders>
              <w:top w:val="nil"/>
              <w:left w:val="nil"/>
              <w:bottom w:val="nil"/>
              <w:right w:val="nil"/>
            </w:tcBorders>
          </w:tcPr>
          <w:p w14:paraId="729A9897"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2FDCCBDF" w14:textId="67554587" w:rsidR="007F1A4D" w:rsidRDefault="007F1A4D" w:rsidP="007F1A4D">
            <w:pPr>
              <w:spacing w:after="0"/>
              <w:jc w:val="right"/>
              <w:rPr>
                <w:rFonts w:eastAsia="Times New Roman"/>
                <w:sz w:val="22"/>
              </w:rPr>
            </w:pPr>
            <w:r>
              <w:rPr>
                <w:rFonts w:eastAsia="Times New Roman"/>
                <w:sz w:val="22"/>
              </w:rPr>
              <w:t>27.45%</w:t>
            </w:r>
          </w:p>
        </w:tc>
        <w:tc>
          <w:tcPr>
            <w:tcW w:w="1080" w:type="dxa"/>
            <w:tcBorders>
              <w:top w:val="nil"/>
              <w:left w:val="nil"/>
              <w:bottom w:val="nil"/>
              <w:right w:val="nil"/>
            </w:tcBorders>
          </w:tcPr>
          <w:p w14:paraId="4485FCF5" w14:textId="77777777" w:rsidR="007F1A4D" w:rsidRDefault="007F1A4D" w:rsidP="007F1A4D">
            <w:pPr>
              <w:spacing w:after="0"/>
              <w:jc w:val="center"/>
              <w:rPr>
                <w:rFonts w:eastAsia="Times New Roman"/>
                <w:sz w:val="22"/>
              </w:rPr>
            </w:pPr>
          </w:p>
        </w:tc>
      </w:tr>
      <w:tr w:rsidR="007F1A4D" w:rsidRPr="00D47DDD" w14:paraId="31825F1B" w14:textId="77777777" w:rsidTr="00917DED">
        <w:trPr>
          <w:trHeight w:val="288"/>
        </w:trPr>
        <w:tc>
          <w:tcPr>
            <w:tcW w:w="3960" w:type="dxa"/>
            <w:tcBorders>
              <w:top w:val="nil"/>
              <w:left w:val="nil"/>
              <w:bottom w:val="nil"/>
              <w:right w:val="single" w:sz="4" w:space="0" w:color="auto"/>
            </w:tcBorders>
            <w:vAlign w:val="center"/>
          </w:tcPr>
          <w:p w14:paraId="143D771A" w14:textId="25B67C33" w:rsidR="007F1A4D" w:rsidRPr="00DE76E5" w:rsidRDefault="007F1A4D" w:rsidP="00917DED">
            <w:pPr>
              <w:spacing w:after="0"/>
              <w:rPr>
                <w:i/>
                <w:sz w:val="22"/>
              </w:rPr>
            </w:pPr>
            <w:r w:rsidRPr="00DE76E5">
              <w:rPr>
                <w:i/>
                <w:sz w:val="22"/>
              </w:rPr>
              <w:t xml:space="preserve">     45</w:t>
            </w:r>
            <w:r w:rsidR="00917DED">
              <w:rPr>
                <w:rFonts w:ascii="Times New Roman" w:hAnsi="Times New Roman" w:cs="Times New Roman"/>
              </w:rPr>
              <w:t>–</w:t>
            </w:r>
            <w:r w:rsidRPr="00DE76E5">
              <w:rPr>
                <w:i/>
                <w:sz w:val="22"/>
              </w:rPr>
              <w:t>54</w:t>
            </w:r>
          </w:p>
        </w:tc>
        <w:tc>
          <w:tcPr>
            <w:tcW w:w="1710" w:type="dxa"/>
            <w:tcBorders>
              <w:top w:val="nil"/>
              <w:left w:val="single" w:sz="4" w:space="0" w:color="auto"/>
              <w:bottom w:val="nil"/>
              <w:right w:val="nil"/>
            </w:tcBorders>
          </w:tcPr>
          <w:p w14:paraId="150ECC35" w14:textId="2F68CA79" w:rsidR="007F1A4D" w:rsidRDefault="007F1A4D" w:rsidP="007F1A4D">
            <w:pPr>
              <w:spacing w:after="0"/>
              <w:jc w:val="right"/>
              <w:rPr>
                <w:rFonts w:eastAsia="Times New Roman"/>
                <w:sz w:val="22"/>
              </w:rPr>
            </w:pPr>
            <w:r>
              <w:rPr>
                <w:rFonts w:eastAsia="Times New Roman"/>
                <w:sz w:val="22"/>
              </w:rPr>
              <w:t>258</w:t>
            </w:r>
          </w:p>
        </w:tc>
        <w:tc>
          <w:tcPr>
            <w:tcW w:w="1170" w:type="dxa"/>
            <w:tcBorders>
              <w:top w:val="nil"/>
              <w:left w:val="nil"/>
              <w:bottom w:val="nil"/>
              <w:right w:val="nil"/>
            </w:tcBorders>
          </w:tcPr>
          <w:p w14:paraId="73BCC3B9"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2BAD926F" w14:textId="4D592F9F" w:rsidR="007F1A4D" w:rsidRDefault="007F1A4D" w:rsidP="007F1A4D">
            <w:pPr>
              <w:spacing w:after="0"/>
              <w:jc w:val="right"/>
              <w:rPr>
                <w:rFonts w:eastAsia="Times New Roman"/>
                <w:sz w:val="22"/>
              </w:rPr>
            </w:pPr>
            <w:r>
              <w:rPr>
                <w:rFonts w:eastAsia="Times New Roman"/>
                <w:sz w:val="22"/>
              </w:rPr>
              <w:t>21.08%</w:t>
            </w:r>
          </w:p>
        </w:tc>
        <w:tc>
          <w:tcPr>
            <w:tcW w:w="1080" w:type="dxa"/>
            <w:tcBorders>
              <w:top w:val="nil"/>
              <w:left w:val="nil"/>
              <w:bottom w:val="nil"/>
              <w:right w:val="nil"/>
            </w:tcBorders>
          </w:tcPr>
          <w:p w14:paraId="3CD77A7A" w14:textId="77777777" w:rsidR="007F1A4D" w:rsidRDefault="007F1A4D" w:rsidP="007F1A4D">
            <w:pPr>
              <w:spacing w:after="0"/>
              <w:jc w:val="center"/>
              <w:rPr>
                <w:rFonts w:eastAsia="Times New Roman"/>
                <w:sz w:val="22"/>
              </w:rPr>
            </w:pPr>
          </w:p>
        </w:tc>
      </w:tr>
      <w:tr w:rsidR="007F1A4D" w:rsidRPr="00D47DDD" w14:paraId="59BE2EBD" w14:textId="77777777" w:rsidTr="00917DED">
        <w:trPr>
          <w:trHeight w:val="288"/>
        </w:trPr>
        <w:tc>
          <w:tcPr>
            <w:tcW w:w="3960" w:type="dxa"/>
            <w:tcBorders>
              <w:top w:val="nil"/>
              <w:left w:val="nil"/>
              <w:bottom w:val="nil"/>
              <w:right w:val="single" w:sz="4" w:space="0" w:color="auto"/>
            </w:tcBorders>
            <w:vAlign w:val="center"/>
          </w:tcPr>
          <w:p w14:paraId="71875EE7" w14:textId="505CEBA5" w:rsidR="007F1A4D" w:rsidRPr="00DE76E5" w:rsidRDefault="007F1A4D" w:rsidP="00917DED">
            <w:pPr>
              <w:spacing w:after="0"/>
              <w:rPr>
                <w:i/>
                <w:sz w:val="22"/>
              </w:rPr>
            </w:pPr>
            <w:r w:rsidRPr="00DE76E5">
              <w:rPr>
                <w:i/>
                <w:sz w:val="22"/>
              </w:rPr>
              <w:t xml:space="preserve">     55</w:t>
            </w:r>
            <w:r w:rsidR="00917DED">
              <w:rPr>
                <w:rFonts w:ascii="Times New Roman" w:hAnsi="Times New Roman" w:cs="Times New Roman"/>
              </w:rPr>
              <w:t>–</w:t>
            </w:r>
            <w:r w:rsidRPr="00DE76E5">
              <w:rPr>
                <w:i/>
                <w:sz w:val="22"/>
              </w:rPr>
              <w:t>64</w:t>
            </w:r>
          </w:p>
        </w:tc>
        <w:tc>
          <w:tcPr>
            <w:tcW w:w="1710" w:type="dxa"/>
            <w:tcBorders>
              <w:top w:val="nil"/>
              <w:left w:val="single" w:sz="4" w:space="0" w:color="auto"/>
              <w:bottom w:val="nil"/>
              <w:right w:val="nil"/>
            </w:tcBorders>
          </w:tcPr>
          <w:p w14:paraId="7150CAC9" w14:textId="371B9F8A" w:rsidR="007F1A4D" w:rsidRDefault="007F1A4D" w:rsidP="007F1A4D">
            <w:pPr>
              <w:spacing w:after="0"/>
              <w:jc w:val="right"/>
              <w:rPr>
                <w:rFonts w:eastAsia="Times New Roman"/>
                <w:sz w:val="22"/>
              </w:rPr>
            </w:pPr>
            <w:r>
              <w:rPr>
                <w:rFonts w:eastAsia="Times New Roman"/>
                <w:sz w:val="22"/>
              </w:rPr>
              <w:t>183</w:t>
            </w:r>
          </w:p>
        </w:tc>
        <w:tc>
          <w:tcPr>
            <w:tcW w:w="1170" w:type="dxa"/>
            <w:tcBorders>
              <w:top w:val="nil"/>
              <w:left w:val="nil"/>
              <w:bottom w:val="nil"/>
              <w:right w:val="nil"/>
            </w:tcBorders>
          </w:tcPr>
          <w:p w14:paraId="43807F6C"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33A53C8F" w14:textId="7184CFF5" w:rsidR="007F1A4D" w:rsidRDefault="007F1A4D" w:rsidP="007F1A4D">
            <w:pPr>
              <w:spacing w:after="0"/>
              <w:jc w:val="right"/>
              <w:rPr>
                <w:rFonts w:eastAsia="Times New Roman"/>
                <w:sz w:val="22"/>
              </w:rPr>
            </w:pPr>
            <w:r>
              <w:rPr>
                <w:rFonts w:eastAsia="Times New Roman"/>
                <w:sz w:val="22"/>
              </w:rPr>
              <w:t>14.95%</w:t>
            </w:r>
          </w:p>
        </w:tc>
        <w:tc>
          <w:tcPr>
            <w:tcW w:w="1080" w:type="dxa"/>
            <w:tcBorders>
              <w:top w:val="nil"/>
              <w:left w:val="nil"/>
              <w:bottom w:val="nil"/>
              <w:right w:val="nil"/>
            </w:tcBorders>
          </w:tcPr>
          <w:p w14:paraId="65110A1F" w14:textId="77777777" w:rsidR="007F1A4D" w:rsidRDefault="007F1A4D" w:rsidP="007F1A4D">
            <w:pPr>
              <w:spacing w:after="0"/>
              <w:jc w:val="center"/>
              <w:rPr>
                <w:rFonts w:eastAsia="Times New Roman"/>
                <w:sz w:val="22"/>
              </w:rPr>
            </w:pPr>
          </w:p>
        </w:tc>
      </w:tr>
      <w:tr w:rsidR="007F1A4D" w:rsidRPr="00D47DDD" w14:paraId="58DE0FD7" w14:textId="77777777" w:rsidTr="00917DED">
        <w:trPr>
          <w:trHeight w:val="288"/>
        </w:trPr>
        <w:tc>
          <w:tcPr>
            <w:tcW w:w="3960" w:type="dxa"/>
            <w:tcBorders>
              <w:top w:val="nil"/>
              <w:left w:val="nil"/>
              <w:bottom w:val="nil"/>
              <w:right w:val="single" w:sz="4" w:space="0" w:color="auto"/>
            </w:tcBorders>
            <w:vAlign w:val="center"/>
          </w:tcPr>
          <w:p w14:paraId="7013DC94" w14:textId="16EAE83B" w:rsidR="007F1A4D" w:rsidRPr="00DE76E5" w:rsidRDefault="007F1A4D" w:rsidP="00917DED">
            <w:pPr>
              <w:spacing w:after="0"/>
              <w:rPr>
                <w:i/>
                <w:sz w:val="22"/>
              </w:rPr>
            </w:pPr>
            <w:r w:rsidRPr="00DE76E5">
              <w:rPr>
                <w:i/>
                <w:sz w:val="22"/>
              </w:rPr>
              <w:t xml:space="preserve">     65</w:t>
            </w:r>
            <w:r w:rsidR="00917DED">
              <w:rPr>
                <w:rFonts w:ascii="Times New Roman" w:hAnsi="Times New Roman" w:cs="Times New Roman"/>
              </w:rPr>
              <w:t>–</w:t>
            </w:r>
            <w:r w:rsidRPr="00DE76E5">
              <w:rPr>
                <w:i/>
                <w:sz w:val="22"/>
              </w:rPr>
              <w:t>74</w:t>
            </w:r>
          </w:p>
        </w:tc>
        <w:tc>
          <w:tcPr>
            <w:tcW w:w="1710" w:type="dxa"/>
            <w:tcBorders>
              <w:top w:val="nil"/>
              <w:left w:val="single" w:sz="4" w:space="0" w:color="auto"/>
              <w:bottom w:val="nil"/>
              <w:right w:val="nil"/>
            </w:tcBorders>
          </w:tcPr>
          <w:p w14:paraId="45020463" w14:textId="3B435B35" w:rsidR="007F1A4D" w:rsidRDefault="007F1A4D" w:rsidP="007F1A4D">
            <w:pPr>
              <w:spacing w:after="0"/>
              <w:jc w:val="right"/>
              <w:rPr>
                <w:rFonts w:eastAsia="Times New Roman"/>
                <w:sz w:val="22"/>
              </w:rPr>
            </w:pPr>
            <w:r>
              <w:rPr>
                <w:rFonts w:eastAsia="Times New Roman"/>
                <w:sz w:val="22"/>
              </w:rPr>
              <w:t>14</w:t>
            </w:r>
          </w:p>
        </w:tc>
        <w:tc>
          <w:tcPr>
            <w:tcW w:w="1170" w:type="dxa"/>
            <w:tcBorders>
              <w:top w:val="nil"/>
              <w:left w:val="nil"/>
              <w:bottom w:val="nil"/>
              <w:right w:val="nil"/>
            </w:tcBorders>
          </w:tcPr>
          <w:p w14:paraId="796F3615"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3A7AC7F4" w14:textId="0F2AEB1C" w:rsidR="007F1A4D" w:rsidRDefault="007F1A4D" w:rsidP="007F1A4D">
            <w:pPr>
              <w:spacing w:after="0"/>
              <w:jc w:val="right"/>
              <w:rPr>
                <w:rFonts w:eastAsia="Times New Roman"/>
                <w:sz w:val="22"/>
              </w:rPr>
            </w:pPr>
            <w:r>
              <w:rPr>
                <w:rFonts w:eastAsia="Times New Roman"/>
                <w:sz w:val="22"/>
              </w:rPr>
              <w:t>1.14%</w:t>
            </w:r>
          </w:p>
        </w:tc>
        <w:tc>
          <w:tcPr>
            <w:tcW w:w="1080" w:type="dxa"/>
            <w:tcBorders>
              <w:top w:val="nil"/>
              <w:left w:val="nil"/>
              <w:bottom w:val="nil"/>
              <w:right w:val="nil"/>
            </w:tcBorders>
          </w:tcPr>
          <w:p w14:paraId="1355AD17" w14:textId="77777777" w:rsidR="007F1A4D" w:rsidRDefault="007F1A4D" w:rsidP="007F1A4D">
            <w:pPr>
              <w:spacing w:after="0"/>
              <w:jc w:val="center"/>
              <w:rPr>
                <w:rFonts w:eastAsia="Times New Roman"/>
                <w:sz w:val="22"/>
              </w:rPr>
            </w:pPr>
          </w:p>
        </w:tc>
      </w:tr>
      <w:tr w:rsidR="007F1A4D" w:rsidRPr="00D47DDD" w14:paraId="7CA31DD9" w14:textId="77777777" w:rsidTr="00917DED">
        <w:trPr>
          <w:trHeight w:val="288"/>
        </w:trPr>
        <w:tc>
          <w:tcPr>
            <w:tcW w:w="3960" w:type="dxa"/>
            <w:tcBorders>
              <w:top w:val="nil"/>
              <w:left w:val="nil"/>
              <w:bottom w:val="nil"/>
              <w:right w:val="single" w:sz="4" w:space="0" w:color="auto"/>
            </w:tcBorders>
            <w:vAlign w:val="center"/>
          </w:tcPr>
          <w:p w14:paraId="5A1285B1" w14:textId="2A450EA7" w:rsidR="007F1A4D" w:rsidRPr="00DE76E5" w:rsidRDefault="007F1A4D" w:rsidP="00917DED">
            <w:pPr>
              <w:spacing w:after="0"/>
              <w:rPr>
                <w:i/>
                <w:sz w:val="22"/>
              </w:rPr>
            </w:pPr>
            <w:r w:rsidRPr="00DE76E5">
              <w:rPr>
                <w:i/>
                <w:sz w:val="22"/>
              </w:rPr>
              <w:t xml:space="preserve">     75</w:t>
            </w:r>
            <w:r w:rsidR="00917DED">
              <w:rPr>
                <w:rFonts w:ascii="Times New Roman" w:hAnsi="Times New Roman" w:cs="Times New Roman"/>
              </w:rPr>
              <w:t>–</w:t>
            </w:r>
            <w:r w:rsidRPr="00DE76E5">
              <w:rPr>
                <w:i/>
                <w:sz w:val="22"/>
              </w:rPr>
              <w:t>84</w:t>
            </w:r>
          </w:p>
        </w:tc>
        <w:tc>
          <w:tcPr>
            <w:tcW w:w="1710" w:type="dxa"/>
            <w:tcBorders>
              <w:top w:val="nil"/>
              <w:left w:val="single" w:sz="4" w:space="0" w:color="auto"/>
              <w:bottom w:val="nil"/>
              <w:right w:val="nil"/>
            </w:tcBorders>
          </w:tcPr>
          <w:p w14:paraId="139FC84C" w14:textId="220EC9D6" w:rsidR="007F1A4D" w:rsidRDefault="007F1A4D" w:rsidP="007F1A4D">
            <w:pPr>
              <w:spacing w:after="0"/>
              <w:jc w:val="right"/>
              <w:rPr>
                <w:rFonts w:eastAsia="Times New Roman"/>
                <w:sz w:val="22"/>
              </w:rPr>
            </w:pPr>
            <w:r>
              <w:rPr>
                <w:rFonts w:eastAsia="Times New Roman"/>
                <w:sz w:val="22"/>
              </w:rPr>
              <w:t>3</w:t>
            </w:r>
          </w:p>
        </w:tc>
        <w:tc>
          <w:tcPr>
            <w:tcW w:w="1170" w:type="dxa"/>
            <w:tcBorders>
              <w:top w:val="nil"/>
              <w:left w:val="nil"/>
              <w:bottom w:val="nil"/>
              <w:right w:val="nil"/>
            </w:tcBorders>
          </w:tcPr>
          <w:p w14:paraId="73D3BBC9"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1CD8065B" w14:textId="7C8A4372" w:rsidR="007F1A4D" w:rsidRDefault="007F1A4D" w:rsidP="007F1A4D">
            <w:pPr>
              <w:spacing w:after="0"/>
              <w:jc w:val="right"/>
              <w:rPr>
                <w:rFonts w:eastAsia="Times New Roman"/>
                <w:sz w:val="22"/>
              </w:rPr>
            </w:pPr>
            <w:r>
              <w:rPr>
                <w:rFonts w:eastAsia="Times New Roman"/>
                <w:sz w:val="22"/>
              </w:rPr>
              <w:t>0.25%</w:t>
            </w:r>
          </w:p>
        </w:tc>
        <w:tc>
          <w:tcPr>
            <w:tcW w:w="1080" w:type="dxa"/>
            <w:tcBorders>
              <w:top w:val="nil"/>
              <w:left w:val="nil"/>
              <w:bottom w:val="nil"/>
              <w:right w:val="nil"/>
            </w:tcBorders>
          </w:tcPr>
          <w:p w14:paraId="2678A01C" w14:textId="77777777" w:rsidR="007F1A4D" w:rsidRDefault="007F1A4D" w:rsidP="007F1A4D">
            <w:pPr>
              <w:spacing w:after="0"/>
              <w:jc w:val="center"/>
              <w:rPr>
                <w:rFonts w:eastAsia="Times New Roman"/>
                <w:sz w:val="22"/>
              </w:rPr>
            </w:pPr>
          </w:p>
        </w:tc>
      </w:tr>
      <w:tr w:rsidR="007F1A4D" w:rsidRPr="00D47DDD" w14:paraId="13297277" w14:textId="77777777" w:rsidTr="006F42B4">
        <w:trPr>
          <w:trHeight w:val="288"/>
        </w:trPr>
        <w:tc>
          <w:tcPr>
            <w:tcW w:w="3960" w:type="dxa"/>
            <w:tcBorders>
              <w:top w:val="nil"/>
              <w:left w:val="nil"/>
              <w:bottom w:val="nil"/>
              <w:right w:val="single" w:sz="4" w:space="0" w:color="auto"/>
            </w:tcBorders>
          </w:tcPr>
          <w:p w14:paraId="75988715" w14:textId="48815557" w:rsidR="007F1A4D" w:rsidRPr="00FC74F4" w:rsidRDefault="007F1A4D" w:rsidP="007F1A4D">
            <w:pPr>
              <w:spacing w:after="0"/>
              <w:rPr>
                <w:sz w:val="22"/>
              </w:rPr>
            </w:pPr>
            <w:r>
              <w:rPr>
                <w:sz w:val="22"/>
              </w:rPr>
              <w:t>Education</w:t>
            </w:r>
          </w:p>
        </w:tc>
        <w:tc>
          <w:tcPr>
            <w:tcW w:w="1710" w:type="dxa"/>
            <w:tcBorders>
              <w:top w:val="nil"/>
              <w:left w:val="single" w:sz="4" w:space="0" w:color="auto"/>
              <w:bottom w:val="nil"/>
              <w:right w:val="nil"/>
            </w:tcBorders>
          </w:tcPr>
          <w:p w14:paraId="5D827F27" w14:textId="77777777" w:rsidR="007F1A4D" w:rsidRDefault="007F1A4D" w:rsidP="007F1A4D">
            <w:pPr>
              <w:spacing w:after="0"/>
              <w:jc w:val="right"/>
              <w:rPr>
                <w:rFonts w:eastAsia="Times New Roman"/>
                <w:sz w:val="22"/>
              </w:rPr>
            </w:pPr>
          </w:p>
        </w:tc>
        <w:tc>
          <w:tcPr>
            <w:tcW w:w="1170" w:type="dxa"/>
            <w:tcBorders>
              <w:top w:val="nil"/>
              <w:left w:val="nil"/>
              <w:bottom w:val="nil"/>
              <w:right w:val="nil"/>
            </w:tcBorders>
          </w:tcPr>
          <w:p w14:paraId="77832A62" w14:textId="2D1D70F0"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06993BA5" w14:textId="77777777" w:rsidR="007F1A4D" w:rsidRDefault="007F1A4D" w:rsidP="007F1A4D">
            <w:pPr>
              <w:spacing w:after="0"/>
              <w:jc w:val="right"/>
              <w:rPr>
                <w:rFonts w:eastAsia="Times New Roman"/>
                <w:sz w:val="22"/>
              </w:rPr>
            </w:pPr>
          </w:p>
        </w:tc>
        <w:tc>
          <w:tcPr>
            <w:tcW w:w="1080" w:type="dxa"/>
            <w:tcBorders>
              <w:top w:val="nil"/>
              <w:left w:val="nil"/>
              <w:bottom w:val="nil"/>
              <w:right w:val="nil"/>
            </w:tcBorders>
          </w:tcPr>
          <w:p w14:paraId="7DFDF83F" w14:textId="5C92CB97" w:rsidR="007F1A4D" w:rsidRDefault="007F1A4D" w:rsidP="007F1A4D">
            <w:pPr>
              <w:spacing w:after="0"/>
              <w:jc w:val="center"/>
              <w:rPr>
                <w:rFonts w:eastAsia="Times New Roman"/>
                <w:sz w:val="22"/>
              </w:rPr>
            </w:pPr>
          </w:p>
        </w:tc>
      </w:tr>
      <w:tr w:rsidR="007F1A4D" w:rsidRPr="00D47DDD" w14:paraId="0353BA3F" w14:textId="77777777" w:rsidTr="006F42B4">
        <w:trPr>
          <w:trHeight w:val="288"/>
        </w:trPr>
        <w:tc>
          <w:tcPr>
            <w:tcW w:w="3960" w:type="dxa"/>
            <w:tcBorders>
              <w:top w:val="nil"/>
              <w:left w:val="nil"/>
              <w:bottom w:val="nil"/>
              <w:right w:val="single" w:sz="4" w:space="0" w:color="auto"/>
            </w:tcBorders>
          </w:tcPr>
          <w:p w14:paraId="3818F029" w14:textId="77FB4BAB" w:rsidR="007F1A4D" w:rsidRPr="00713929" w:rsidRDefault="007F1A4D" w:rsidP="007F1A4D">
            <w:pPr>
              <w:spacing w:after="0"/>
              <w:rPr>
                <w:i/>
                <w:sz w:val="22"/>
              </w:rPr>
            </w:pPr>
            <w:r>
              <w:rPr>
                <w:i/>
                <w:sz w:val="22"/>
              </w:rPr>
              <w:t xml:space="preserve">     Less than high school</w:t>
            </w:r>
          </w:p>
        </w:tc>
        <w:tc>
          <w:tcPr>
            <w:tcW w:w="1710" w:type="dxa"/>
            <w:tcBorders>
              <w:top w:val="nil"/>
              <w:left w:val="single" w:sz="4" w:space="0" w:color="auto"/>
              <w:bottom w:val="nil"/>
              <w:right w:val="nil"/>
            </w:tcBorders>
          </w:tcPr>
          <w:p w14:paraId="28A57E06" w14:textId="320326A7" w:rsidR="007F1A4D" w:rsidRDefault="007F1A4D" w:rsidP="007F1A4D">
            <w:pPr>
              <w:spacing w:after="0"/>
              <w:jc w:val="right"/>
              <w:rPr>
                <w:rFonts w:eastAsia="Times New Roman"/>
                <w:sz w:val="22"/>
              </w:rPr>
            </w:pPr>
            <w:r>
              <w:rPr>
                <w:rFonts w:eastAsia="Times New Roman"/>
                <w:sz w:val="22"/>
              </w:rPr>
              <w:t>211</w:t>
            </w:r>
          </w:p>
        </w:tc>
        <w:tc>
          <w:tcPr>
            <w:tcW w:w="1170" w:type="dxa"/>
            <w:tcBorders>
              <w:top w:val="nil"/>
              <w:left w:val="nil"/>
              <w:bottom w:val="nil"/>
              <w:right w:val="nil"/>
            </w:tcBorders>
          </w:tcPr>
          <w:p w14:paraId="2FC21FD3" w14:textId="0A5CE40D"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23F05DF9" w14:textId="3BAEC95E" w:rsidR="007F1A4D" w:rsidRDefault="007F1A4D" w:rsidP="007F1A4D">
            <w:pPr>
              <w:spacing w:after="0"/>
              <w:jc w:val="right"/>
              <w:rPr>
                <w:rFonts w:eastAsia="Times New Roman"/>
                <w:sz w:val="22"/>
              </w:rPr>
            </w:pPr>
            <w:r>
              <w:rPr>
                <w:rFonts w:eastAsia="Times New Roman"/>
                <w:sz w:val="22"/>
              </w:rPr>
              <w:t>17.24%</w:t>
            </w:r>
          </w:p>
        </w:tc>
        <w:tc>
          <w:tcPr>
            <w:tcW w:w="1080" w:type="dxa"/>
            <w:tcBorders>
              <w:top w:val="nil"/>
              <w:left w:val="nil"/>
              <w:bottom w:val="nil"/>
              <w:right w:val="nil"/>
            </w:tcBorders>
          </w:tcPr>
          <w:p w14:paraId="454BADB4" w14:textId="299067F1" w:rsidR="007F1A4D" w:rsidRDefault="007F1A4D" w:rsidP="007F1A4D">
            <w:pPr>
              <w:spacing w:after="0"/>
              <w:jc w:val="center"/>
              <w:rPr>
                <w:rFonts w:eastAsia="Times New Roman"/>
                <w:sz w:val="22"/>
              </w:rPr>
            </w:pPr>
          </w:p>
        </w:tc>
      </w:tr>
      <w:tr w:rsidR="007F1A4D" w:rsidRPr="00D47DDD" w14:paraId="09BF7252" w14:textId="77777777" w:rsidTr="006F42B4">
        <w:trPr>
          <w:trHeight w:val="288"/>
        </w:trPr>
        <w:tc>
          <w:tcPr>
            <w:tcW w:w="3960" w:type="dxa"/>
            <w:tcBorders>
              <w:top w:val="nil"/>
              <w:left w:val="nil"/>
              <w:bottom w:val="nil"/>
              <w:right w:val="single" w:sz="4" w:space="0" w:color="auto"/>
            </w:tcBorders>
          </w:tcPr>
          <w:p w14:paraId="3E1CACEC" w14:textId="2C8E8813" w:rsidR="007F1A4D" w:rsidRPr="00713929" w:rsidRDefault="007F1A4D" w:rsidP="007F1A4D">
            <w:pPr>
              <w:spacing w:after="0"/>
              <w:rPr>
                <w:i/>
                <w:sz w:val="22"/>
              </w:rPr>
            </w:pPr>
            <w:r>
              <w:rPr>
                <w:i/>
                <w:sz w:val="22"/>
              </w:rPr>
              <w:t xml:space="preserve">     High school graduate</w:t>
            </w:r>
          </w:p>
        </w:tc>
        <w:tc>
          <w:tcPr>
            <w:tcW w:w="1710" w:type="dxa"/>
            <w:tcBorders>
              <w:top w:val="nil"/>
              <w:left w:val="single" w:sz="4" w:space="0" w:color="auto"/>
              <w:bottom w:val="nil"/>
              <w:right w:val="nil"/>
            </w:tcBorders>
          </w:tcPr>
          <w:p w14:paraId="1563DEA8" w14:textId="0F4B9DAF" w:rsidR="007F1A4D" w:rsidRDefault="007F1A4D" w:rsidP="007F1A4D">
            <w:pPr>
              <w:spacing w:after="0"/>
              <w:jc w:val="right"/>
              <w:rPr>
                <w:rFonts w:eastAsia="Times New Roman"/>
                <w:sz w:val="22"/>
              </w:rPr>
            </w:pPr>
            <w:r>
              <w:rPr>
                <w:rFonts w:eastAsia="Times New Roman"/>
                <w:sz w:val="22"/>
              </w:rPr>
              <w:t>574</w:t>
            </w:r>
          </w:p>
        </w:tc>
        <w:tc>
          <w:tcPr>
            <w:tcW w:w="1170" w:type="dxa"/>
            <w:tcBorders>
              <w:top w:val="nil"/>
              <w:left w:val="nil"/>
              <w:bottom w:val="nil"/>
              <w:right w:val="nil"/>
            </w:tcBorders>
          </w:tcPr>
          <w:p w14:paraId="6D22AFC1" w14:textId="22684676"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02EC0AC0" w14:textId="55059B8D" w:rsidR="007F1A4D" w:rsidRDefault="007F1A4D" w:rsidP="007F1A4D">
            <w:pPr>
              <w:spacing w:after="0"/>
              <w:jc w:val="right"/>
              <w:rPr>
                <w:rFonts w:eastAsia="Times New Roman"/>
                <w:sz w:val="22"/>
              </w:rPr>
            </w:pPr>
            <w:r>
              <w:rPr>
                <w:rFonts w:eastAsia="Times New Roman"/>
                <w:sz w:val="22"/>
              </w:rPr>
              <w:t>46.90%</w:t>
            </w:r>
          </w:p>
        </w:tc>
        <w:tc>
          <w:tcPr>
            <w:tcW w:w="1080" w:type="dxa"/>
            <w:tcBorders>
              <w:top w:val="nil"/>
              <w:left w:val="nil"/>
              <w:bottom w:val="nil"/>
              <w:right w:val="nil"/>
            </w:tcBorders>
          </w:tcPr>
          <w:p w14:paraId="66BD5DAC" w14:textId="03377E11" w:rsidR="007F1A4D" w:rsidRDefault="007F1A4D" w:rsidP="007F1A4D">
            <w:pPr>
              <w:spacing w:after="0"/>
              <w:jc w:val="center"/>
              <w:rPr>
                <w:rFonts w:eastAsia="Times New Roman"/>
                <w:sz w:val="22"/>
              </w:rPr>
            </w:pPr>
          </w:p>
        </w:tc>
      </w:tr>
      <w:tr w:rsidR="007F1A4D" w:rsidRPr="00D47DDD" w14:paraId="503EA4BD" w14:textId="77777777" w:rsidTr="006F42B4">
        <w:trPr>
          <w:trHeight w:val="288"/>
        </w:trPr>
        <w:tc>
          <w:tcPr>
            <w:tcW w:w="3960" w:type="dxa"/>
            <w:tcBorders>
              <w:top w:val="nil"/>
              <w:left w:val="nil"/>
              <w:bottom w:val="nil"/>
              <w:right w:val="single" w:sz="4" w:space="0" w:color="auto"/>
            </w:tcBorders>
          </w:tcPr>
          <w:p w14:paraId="1091574F" w14:textId="028737BA" w:rsidR="007F1A4D" w:rsidRPr="00713929" w:rsidRDefault="007F1A4D" w:rsidP="007F1A4D">
            <w:pPr>
              <w:spacing w:after="0"/>
              <w:rPr>
                <w:i/>
                <w:sz w:val="22"/>
              </w:rPr>
            </w:pPr>
            <w:r>
              <w:rPr>
                <w:i/>
                <w:sz w:val="22"/>
              </w:rPr>
              <w:t xml:space="preserve">     Some college</w:t>
            </w:r>
          </w:p>
        </w:tc>
        <w:tc>
          <w:tcPr>
            <w:tcW w:w="1710" w:type="dxa"/>
            <w:tcBorders>
              <w:top w:val="nil"/>
              <w:left w:val="single" w:sz="4" w:space="0" w:color="auto"/>
              <w:bottom w:val="nil"/>
              <w:right w:val="nil"/>
            </w:tcBorders>
          </w:tcPr>
          <w:p w14:paraId="24BD0C8D" w14:textId="74F3BC67" w:rsidR="007F1A4D" w:rsidRDefault="007F1A4D" w:rsidP="007F1A4D">
            <w:pPr>
              <w:spacing w:after="0"/>
              <w:jc w:val="right"/>
              <w:rPr>
                <w:rFonts w:eastAsia="Times New Roman"/>
                <w:sz w:val="22"/>
              </w:rPr>
            </w:pPr>
            <w:r>
              <w:rPr>
                <w:rFonts w:eastAsia="Times New Roman"/>
                <w:sz w:val="22"/>
              </w:rPr>
              <w:t>286</w:t>
            </w:r>
          </w:p>
        </w:tc>
        <w:tc>
          <w:tcPr>
            <w:tcW w:w="1170" w:type="dxa"/>
            <w:tcBorders>
              <w:top w:val="nil"/>
              <w:left w:val="nil"/>
              <w:bottom w:val="nil"/>
              <w:right w:val="nil"/>
            </w:tcBorders>
          </w:tcPr>
          <w:p w14:paraId="32CF28EC" w14:textId="3D3B3DC2"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7F0681F4" w14:textId="50363766" w:rsidR="007F1A4D" w:rsidRDefault="007F1A4D" w:rsidP="007F1A4D">
            <w:pPr>
              <w:spacing w:after="0"/>
              <w:jc w:val="right"/>
              <w:rPr>
                <w:rFonts w:eastAsia="Times New Roman"/>
                <w:sz w:val="22"/>
              </w:rPr>
            </w:pPr>
            <w:r>
              <w:rPr>
                <w:rFonts w:eastAsia="Times New Roman"/>
                <w:sz w:val="22"/>
              </w:rPr>
              <w:t>23.37%</w:t>
            </w:r>
          </w:p>
        </w:tc>
        <w:tc>
          <w:tcPr>
            <w:tcW w:w="1080" w:type="dxa"/>
            <w:tcBorders>
              <w:top w:val="nil"/>
              <w:left w:val="nil"/>
              <w:bottom w:val="nil"/>
              <w:right w:val="nil"/>
            </w:tcBorders>
          </w:tcPr>
          <w:p w14:paraId="5061BA8D" w14:textId="5D2C13F5" w:rsidR="007F1A4D" w:rsidRDefault="007F1A4D" w:rsidP="007F1A4D">
            <w:pPr>
              <w:spacing w:after="0"/>
              <w:jc w:val="center"/>
              <w:rPr>
                <w:rFonts w:eastAsia="Times New Roman"/>
                <w:sz w:val="22"/>
              </w:rPr>
            </w:pPr>
          </w:p>
        </w:tc>
      </w:tr>
      <w:tr w:rsidR="007F1A4D" w:rsidRPr="00D47DDD" w14:paraId="26B0C15D" w14:textId="77777777" w:rsidTr="006F42B4">
        <w:trPr>
          <w:trHeight w:val="288"/>
        </w:trPr>
        <w:tc>
          <w:tcPr>
            <w:tcW w:w="3960" w:type="dxa"/>
            <w:tcBorders>
              <w:top w:val="nil"/>
              <w:left w:val="nil"/>
              <w:bottom w:val="nil"/>
              <w:right w:val="single" w:sz="4" w:space="0" w:color="auto"/>
            </w:tcBorders>
          </w:tcPr>
          <w:p w14:paraId="0E42C79F" w14:textId="555F63AB" w:rsidR="007F1A4D" w:rsidRPr="00713929" w:rsidRDefault="007F1A4D" w:rsidP="007F1A4D">
            <w:pPr>
              <w:spacing w:after="0"/>
              <w:rPr>
                <w:i/>
                <w:sz w:val="22"/>
              </w:rPr>
            </w:pPr>
            <w:r>
              <w:rPr>
                <w:i/>
                <w:sz w:val="22"/>
              </w:rPr>
              <w:t xml:space="preserve">     Bachelor’s degree</w:t>
            </w:r>
          </w:p>
        </w:tc>
        <w:tc>
          <w:tcPr>
            <w:tcW w:w="1710" w:type="dxa"/>
            <w:tcBorders>
              <w:top w:val="nil"/>
              <w:left w:val="single" w:sz="4" w:space="0" w:color="auto"/>
              <w:bottom w:val="nil"/>
              <w:right w:val="nil"/>
            </w:tcBorders>
          </w:tcPr>
          <w:p w14:paraId="191178D3" w14:textId="346B87F6" w:rsidR="007F1A4D" w:rsidRDefault="007F1A4D" w:rsidP="007F1A4D">
            <w:pPr>
              <w:spacing w:after="0"/>
              <w:jc w:val="right"/>
              <w:rPr>
                <w:rFonts w:eastAsia="Times New Roman"/>
                <w:sz w:val="22"/>
              </w:rPr>
            </w:pPr>
            <w:r>
              <w:rPr>
                <w:rFonts w:eastAsia="Times New Roman"/>
                <w:sz w:val="22"/>
              </w:rPr>
              <w:t>72</w:t>
            </w:r>
          </w:p>
        </w:tc>
        <w:tc>
          <w:tcPr>
            <w:tcW w:w="1170" w:type="dxa"/>
            <w:tcBorders>
              <w:top w:val="nil"/>
              <w:left w:val="nil"/>
              <w:bottom w:val="nil"/>
              <w:right w:val="nil"/>
            </w:tcBorders>
          </w:tcPr>
          <w:p w14:paraId="32F0D3E3" w14:textId="4826F1A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3E476A86" w14:textId="5D717D69" w:rsidR="007F1A4D" w:rsidRDefault="007F1A4D" w:rsidP="007F1A4D">
            <w:pPr>
              <w:spacing w:after="0"/>
              <w:jc w:val="right"/>
              <w:rPr>
                <w:rFonts w:eastAsia="Times New Roman"/>
                <w:sz w:val="22"/>
              </w:rPr>
            </w:pPr>
            <w:r>
              <w:rPr>
                <w:rFonts w:eastAsia="Times New Roman"/>
                <w:sz w:val="22"/>
              </w:rPr>
              <w:t>5.88%</w:t>
            </w:r>
          </w:p>
        </w:tc>
        <w:tc>
          <w:tcPr>
            <w:tcW w:w="1080" w:type="dxa"/>
            <w:tcBorders>
              <w:top w:val="nil"/>
              <w:left w:val="nil"/>
              <w:bottom w:val="nil"/>
              <w:right w:val="nil"/>
            </w:tcBorders>
          </w:tcPr>
          <w:p w14:paraId="5BFD7CFC" w14:textId="1D1EB661" w:rsidR="007F1A4D" w:rsidRDefault="007F1A4D" w:rsidP="007F1A4D">
            <w:pPr>
              <w:spacing w:after="0"/>
              <w:jc w:val="center"/>
              <w:rPr>
                <w:rFonts w:eastAsia="Times New Roman"/>
                <w:sz w:val="22"/>
              </w:rPr>
            </w:pPr>
          </w:p>
        </w:tc>
      </w:tr>
      <w:tr w:rsidR="007F1A4D" w:rsidRPr="00D47DDD" w14:paraId="39A2A39A" w14:textId="77777777" w:rsidTr="006F42B4">
        <w:trPr>
          <w:trHeight w:val="288"/>
        </w:trPr>
        <w:tc>
          <w:tcPr>
            <w:tcW w:w="3960" w:type="dxa"/>
            <w:tcBorders>
              <w:top w:val="nil"/>
              <w:left w:val="nil"/>
              <w:bottom w:val="nil"/>
              <w:right w:val="single" w:sz="4" w:space="0" w:color="auto"/>
            </w:tcBorders>
          </w:tcPr>
          <w:p w14:paraId="65F6E340" w14:textId="67121440" w:rsidR="007F1A4D" w:rsidRPr="00713929" w:rsidRDefault="007F1A4D" w:rsidP="007F1A4D">
            <w:pPr>
              <w:spacing w:after="0"/>
              <w:rPr>
                <w:i/>
                <w:sz w:val="22"/>
              </w:rPr>
            </w:pPr>
            <w:r>
              <w:rPr>
                <w:i/>
                <w:sz w:val="22"/>
              </w:rPr>
              <w:t xml:space="preserve">     Graduate or professional degree</w:t>
            </w:r>
          </w:p>
        </w:tc>
        <w:tc>
          <w:tcPr>
            <w:tcW w:w="1710" w:type="dxa"/>
            <w:tcBorders>
              <w:top w:val="nil"/>
              <w:left w:val="single" w:sz="4" w:space="0" w:color="auto"/>
              <w:bottom w:val="nil"/>
              <w:right w:val="nil"/>
            </w:tcBorders>
          </w:tcPr>
          <w:p w14:paraId="1BFB4837" w14:textId="2299CF17" w:rsidR="007F1A4D" w:rsidRDefault="007F1A4D" w:rsidP="007F1A4D">
            <w:pPr>
              <w:spacing w:after="0"/>
              <w:jc w:val="right"/>
              <w:rPr>
                <w:rFonts w:eastAsia="Times New Roman"/>
                <w:sz w:val="22"/>
              </w:rPr>
            </w:pPr>
            <w:r>
              <w:rPr>
                <w:rFonts w:eastAsia="Times New Roman"/>
                <w:sz w:val="22"/>
              </w:rPr>
              <w:t>27</w:t>
            </w:r>
          </w:p>
        </w:tc>
        <w:tc>
          <w:tcPr>
            <w:tcW w:w="1170" w:type="dxa"/>
            <w:tcBorders>
              <w:top w:val="nil"/>
              <w:left w:val="nil"/>
              <w:bottom w:val="nil"/>
              <w:right w:val="nil"/>
            </w:tcBorders>
          </w:tcPr>
          <w:p w14:paraId="4B78FF9E" w14:textId="0A6691FD"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4BCA296B" w14:textId="5CA14D58" w:rsidR="007F1A4D" w:rsidRDefault="007F1A4D" w:rsidP="007F1A4D">
            <w:pPr>
              <w:spacing w:after="0"/>
              <w:jc w:val="right"/>
              <w:rPr>
                <w:rFonts w:eastAsia="Times New Roman"/>
                <w:sz w:val="22"/>
              </w:rPr>
            </w:pPr>
            <w:r>
              <w:rPr>
                <w:rFonts w:eastAsia="Times New Roman"/>
                <w:sz w:val="22"/>
              </w:rPr>
              <w:t>2.21%</w:t>
            </w:r>
          </w:p>
        </w:tc>
        <w:tc>
          <w:tcPr>
            <w:tcW w:w="1080" w:type="dxa"/>
            <w:tcBorders>
              <w:top w:val="nil"/>
              <w:left w:val="nil"/>
              <w:bottom w:val="nil"/>
              <w:right w:val="nil"/>
            </w:tcBorders>
          </w:tcPr>
          <w:p w14:paraId="7BF3236A" w14:textId="285B25E9" w:rsidR="007F1A4D" w:rsidRDefault="007F1A4D" w:rsidP="007F1A4D">
            <w:pPr>
              <w:spacing w:after="0"/>
              <w:jc w:val="center"/>
              <w:rPr>
                <w:rFonts w:eastAsia="Times New Roman"/>
                <w:sz w:val="22"/>
              </w:rPr>
            </w:pPr>
          </w:p>
        </w:tc>
      </w:tr>
      <w:tr w:rsidR="007F1A4D" w:rsidRPr="00D47DDD" w14:paraId="70CC5F10" w14:textId="77777777" w:rsidTr="006F42B4">
        <w:trPr>
          <w:trHeight w:val="288"/>
        </w:trPr>
        <w:tc>
          <w:tcPr>
            <w:tcW w:w="3960" w:type="dxa"/>
            <w:tcBorders>
              <w:top w:val="nil"/>
              <w:left w:val="nil"/>
              <w:bottom w:val="nil"/>
              <w:right w:val="single" w:sz="4" w:space="0" w:color="auto"/>
            </w:tcBorders>
          </w:tcPr>
          <w:p w14:paraId="6A9C57F2" w14:textId="4A66FC3E" w:rsidR="007F1A4D" w:rsidRDefault="007F1A4D" w:rsidP="007F1A4D">
            <w:pPr>
              <w:spacing w:after="0"/>
              <w:rPr>
                <w:i/>
                <w:sz w:val="22"/>
              </w:rPr>
            </w:pPr>
            <w:r>
              <w:rPr>
                <w:i/>
                <w:sz w:val="22"/>
              </w:rPr>
              <w:t xml:space="preserve">     Unknown</w:t>
            </w:r>
          </w:p>
        </w:tc>
        <w:tc>
          <w:tcPr>
            <w:tcW w:w="1710" w:type="dxa"/>
            <w:tcBorders>
              <w:top w:val="nil"/>
              <w:left w:val="single" w:sz="4" w:space="0" w:color="auto"/>
              <w:bottom w:val="nil"/>
              <w:right w:val="nil"/>
            </w:tcBorders>
          </w:tcPr>
          <w:p w14:paraId="0AE6D5C1" w14:textId="31C4B8B3" w:rsidR="007F1A4D" w:rsidRDefault="007F1A4D" w:rsidP="007F1A4D">
            <w:pPr>
              <w:spacing w:after="0"/>
              <w:jc w:val="right"/>
              <w:rPr>
                <w:rFonts w:eastAsia="Times New Roman"/>
                <w:sz w:val="22"/>
              </w:rPr>
            </w:pPr>
            <w:r>
              <w:rPr>
                <w:rFonts w:eastAsia="Times New Roman"/>
                <w:sz w:val="22"/>
              </w:rPr>
              <w:t>54</w:t>
            </w:r>
          </w:p>
        </w:tc>
        <w:tc>
          <w:tcPr>
            <w:tcW w:w="1170" w:type="dxa"/>
            <w:tcBorders>
              <w:top w:val="nil"/>
              <w:left w:val="nil"/>
              <w:bottom w:val="nil"/>
              <w:right w:val="nil"/>
            </w:tcBorders>
          </w:tcPr>
          <w:p w14:paraId="54A303BC"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0CD32D19" w14:textId="193827C2" w:rsidR="007F1A4D" w:rsidRDefault="007F1A4D" w:rsidP="007F1A4D">
            <w:pPr>
              <w:spacing w:after="0"/>
              <w:jc w:val="right"/>
              <w:rPr>
                <w:rFonts w:eastAsia="Times New Roman"/>
                <w:sz w:val="22"/>
              </w:rPr>
            </w:pPr>
            <w:r>
              <w:rPr>
                <w:rFonts w:eastAsia="Times New Roman"/>
                <w:sz w:val="22"/>
              </w:rPr>
              <w:t>4.41%</w:t>
            </w:r>
          </w:p>
        </w:tc>
        <w:tc>
          <w:tcPr>
            <w:tcW w:w="1080" w:type="dxa"/>
            <w:tcBorders>
              <w:top w:val="nil"/>
              <w:left w:val="nil"/>
              <w:bottom w:val="nil"/>
              <w:right w:val="nil"/>
            </w:tcBorders>
          </w:tcPr>
          <w:p w14:paraId="1C75DDD8" w14:textId="77777777" w:rsidR="007F1A4D" w:rsidRDefault="007F1A4D" w:rsidP="007F1A4D">
            <w:pPr>
              <w:spacing w:after="0"/>
              <w:jc w:val="center"/>
              <w:rPr>
                <w:rFonts w:eastAsia="Times New Roman"/>
                <w:sz w:val="22"/>
              </w:rPr>
            </w:pPr>
          </w:p>
        </w:tc>
      </w:tr>
      <w:tr w:rsidR="007F1A4D" w:rsidRPr="00D47DDD" w14:paraId="6AB1D842" w14:textId="77777777" w:rsidTr="006F42B4">
        <w:trPr>
          <w:trHeight w:val="288"/>
        </w:trPr>
        <w:tc>
          <w:tcPr>
            <w:tcW w:w="3960" w:type="dxa"/>
            <w:tcBorders>
              <w:top w:val="nil"/>
              <w:left w:val="nil"/>
              <w:bottom w:val="nil"/>
              <w:right w:val="single" w:sz="4" w:space="0" w:color="auto"/>
            </w:tcBorders>
          </w:tcPr>
          <w:p w14:paraId="192DADAE" w14:textId="17346523" w:rsidR="007F1A4D" w:rsidRPr="00713929" w:rsidRDefault="007F1A4D" w:rsidP="007F1A4D">
            <w:pPr>
              <w:spacing w:after="0"/>
              <w:rPr>
                <w:sz w:val="22"/>
              </w:rPr>
            </w:pPr>
            <w:r>
              <w:rPr>
                <w:sz w:val="22"/>
              </w:rPr>
              <w:t>Homelessness</w:t>
            </w:r>
          </w:p>
        </w:tc>
        <w:tc>
          <w:tcPr>
            <w:tcW w:w="1710" w:type="dxa"/>
            <w:tcBorders>
              <w:top w:val="nil"/>
              <w:left w:val="single" w:sz="4" w:space="0" w:color="auto"/>
              <w:bottom w:val="nil"/>
              <w:right w:val="nil"/>
            </w:tcBorders>
          </w:tcPr>
          <w:p w14:paraId="5CAEAEC9" w14:textId="77777777" w:rsidR="007F1A4D" w:rsidRPr="00D47DDD" w:rsidRDefault="007F1A4D" w:rsidP="007F1A4D">
            <w:pPr>
              <w:spacing w:after="0"/>
              <w:jc w:val="right"/>
              <w:rPr>
                <w:rFonts w:eastAsia="Times New Roman"/>
                <w:sz w:val="22"/>
              </w:rPr>
            </w:pPr>
          </w:p>
        </w:tc>
        <w:tc>
          <w:tcPr>
            <w:tcW w:w="1170" w:type="dxa"/>
            <w:tcBorders>
              <w:top w:val="nil"/>
              <w:left w:val="nil"/>
              <w:bottom w:val="nil"/>
              <w:right w:val="nil"/>
            </w:tcBorders>
          </w:tcPr>
          <w:p w14:paraId="086C9A12" w14:textId="4662F06F"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4A548A33" w14:textId="77777777" w:rsidR="007F1A4D" w:rsidRPr="00D47DDD" w:rsidRDefault="007F1A4D" w:rsidP="007F1A4D">
            <w:pPr>
              <w:spacing w:after="0"/>
              <w:jc w:val="right"/>
              <w:rPr>
                <w:rFonts w:eastAsia="Times New Roman"/>
                <w:sz w:val="22"/>
              </w:rPr>
            </w:pPr>
          </w:p>
        </w:tc>
        <w:tc>
          <w:tcPr>
            <w:tcW w:w="1080" w:type="dxa"/>
            <w:tcBorders>
              <w:top w:val="nil"/>
              <w:left w:val="nil"/>
              <w:bottom w:val="nil"/>
              <w:right w:val="nil"/>
            </w:tcBorders>
          </w:tcPr>
          <w:p w14:paraId="495F5E4F" w14:textId="0E220633" w:rsidR="007F1A4D" w:rsidRPr="00D47DDD" w:rsidRDefault="007F1A4D" w:rsidP="007F1A4D">
            <w:pPr>
              <w:spacing w:after="0"/>
              <w:jc w:val="center"/>
              <w:rPr>
                <w:rFonts w:eastAsia="Times New Roman"/>
                <w:sz w:val="22"/>
              </w:rPr>
            </w:pPr>
          </w:p>
        </w:tc>
      </w:tr>
      <w:tr w:rsidR="007F1A4D" w:rsidRPr="00D47DDD" w14:paraId="678954D9" w14:textId="77777777" w:rsidTr="006F42B4">
        <w:trPr>
          <w:trHeight w:val="288"/>
        </w:trPr>
        <w:tc>
          <w:tcPr>
            <w:tcW w:w="3960" w:type="dxa"/>
            <w:tcBorders>
              <w:top w:val="nil"/>
              <w:left w:val="nil"/>
              <w:bottom w:val="nil"/>
              <w:right w:val="single" w:sz="4" w:space="0" w:color="auto"/>
            </w:tcBorders>
          </w:tcPr>
          <w:p w14:paraId="43C25AD5" w14:textId="0903BE76" w:rsidR="007F1A4D" w:rsidRPr="00167341" w:rsidRDefault="007F1A4D" w:rsidP="007F1A4D">
            <w:pPr>
              <w:spacing w:after="0"/>
              <w:rPr>
                <w:i/>
                <w:sz w:val="22"/>
              </w:rPr>
            </w:pPr>
            <w:r>
              <w:rPr>
                <w:sz w:val="22"/>
              </w:rPr>
              <w:t xml:space="preserve">     </w:t>
            </w:r>
            <w:r>
              <w:rPr>
                <w:i/>
                <w:sz w:val="22"/>
              </w:rPr>
              <w:t>Homeless</w:t>
            </w:r>
          </w:p>
        </w:tc>
        <w:tc>
          <w:tcPr>
            <w:tcW w:w="1710" w:type="dxa"/>
            <w:tcBorders>
              <w:top w:val="nil"/>
              <w:left w:val="single" w:sz="4" w:space="0" w:color="auto"/>
              <w:bottom w:val="nil"/>
              <w:right w:val="nil"/>
            </w:tcBorders>
          </w:tcPr>
          <w:p w14:paraId="21F887C9" w14:textId="77777777" w:rsidR="007F1A4D" w:rsidRPr="00D47DDD" w:rsidRDefault="007F1A4D" w:rsidP="007F1A4D">
            <w:pPr>
              <w:spacing w:after="0"/>
              <w:jc w:val="right"/>
              <w:rPr>
                <w:rFonts w:eastAsia="Times New Roman"/>
                <w:sz w:val="22"/>
              </w:rPr>
            </w:pPr>
            <w:r>
              <w:rPr>
                <w:rFonts w:eastAsia="Times New Roman"/>
                <w:sz w:val="22"/>
              </w:rPr>
              <w:t>88</w:t>
            </w:r>
          </w:p>
        </w:tc>
        <w:tc>
          <w:tcPr>
            <w:tcW w:w="1170" w:type="dxa"/>
            <w:tcBorders>
              <w:top w:val="nil"/>
              <w:left w:val="nil"/>
              <w:bottom w:val="nil"/>
              <w:right w:val="nil"/>
            </w:tcBorders>
          </w:tcPr>
          <w:p w14:paraId="122364B7" w14:textId="499CDDDF"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750C634A" w14:textId="19B1CD84" w:rsidR="007F1A4D" w:rsidRPr="00D47DDD" w:rsidRDefault="007F1A4D" w:rsidP="007F1A4D">
            <w:pPr>
              <w:spacing w:after="0"/>
              <w:jc w:val="right"/>
              <w:rPr>
                <w:rFonts w:eastAsia="Times New Roman"/>
                <w:sz w:val="22"/>
              </w:rPr>
            </w:pPr>
            <w:r>
              <w:rPr>
                <w:rFonts w:eastAsia="Times New Roman"/>
                <w:sz w:val="22"/>
              </w:rPr>
              <w:t>7.19%</w:t>
            </w:r>
          </w:p>
        </w:tc>
        <w:tc>
          <w:tcPr>
            <w:tcW w:w="1080" w:type="dxa"/>
            <w:tcBorders>
              <w:top w:val="nil"/>
              <w:left w:val="nil"/>
              <w:bottom w:val="nil"/>
              <w:right w:val="nil"/>
            </w:tcBorders>
          </w:tcPr>
          <w:p w14:paraId="72DB70F5" w14:textId="4AB0A08F" w:rsidR="007F1A4D" w:rsidRPr="00D47DDD" w:rsidRDefault="007F1A4D" w:rsidP="007F1A4D">
            <w:pPr>
              <w:spacing w:after="0"/>
              <w:jc w:val="center"/>
              <w:rPr>
                <w:rFonts w:eastAsia="Times New Roman"/>
                <w:sz w:val="22"/>
              </w:rPr>
            </w:pPr>
          </w:p>
        </w:tc>
      </w:tr>
      <w:tr w:rsidR="007F1A4D" w:rsidRPr="00D47DDD" w14:paraId="17D266F9" w14:textId="77777777" w:rsidTr="006F42B4">
        <w:trPr>
          <w:trHeight w:val="288"/>
        </w:trPr>
        <w:tc>
          <w:tcPr>
            <w:tcW w:w="3960" w:type="dxa"/>
            <w:tcBorders>
              <w:top w:val="nil"/>
              <w:left w:val="nil"/>
              <w:bottom w:val="nil"/>
              <w:right w:val="single" w:sz="4" w:space="0" w:color="auto"/>
            </w:tcBorders>
          </w:tcPr>
          <w:p w14:paraId="1A88EDC3" w14:textId="0CC1F001" w:rsidR="007F1A4D" w:rsidRPr="00167341" w:rsidRDefault="007F1A4D" w:rsidP="007F1A4D">
            <w:pPr>
              <w:spacing w:after="0"/>
              <w:rPr>
                <w:i/>
                <w:sz w:val="22"/>
              </w:rPr>
            </w:pPr>
            <w:r w:rsidRPr="00167341">
              <w:rPr>
                <w:i/>
                <w:sz w:val="22"/>
              </w:rPr>
              <w:t xml:space="preserve">     Not Homeless</w:t>
            </w:r>
          </w:p>
        </w:tc>
        <w:tc>
          <w:tcPr>
            <w:tcW w:w="1710" w:type="dxa"/>
            <w:tcBorders>
              <w:top w:val="nil"/>
              <w:left w:val="single" w:sz="4" w:space="0" w:color="auto"/>
              <w:bottom w:val="nil"/>
              <w:right w:val="nil"/>
            </w:tcBorders>
          </w:tcPr>
          <w:p w14:paraId="0AAE83E3" w14:textId="77777777" w:rsidR="007F1A4D" w:rsidRPr="00D47DDD" w:rsidRDefault="007F1A4D" w:rsidP="007F1A4D">
            <w:pPr>
              <w:spacing w:after="0"/>
              <w:jc w:val="right"/>
              <w:rPr>
                <w:rFonts w:eastAsia="Times New Roman"/>
                <w:sz w:val="22"/>
              </w:rPr>
            </w:pPr>
            <w:r>
              <w:rPr>
                <w:rFonts w:eastAsia="Times New Roman"/>
                <w:sz w:val="22"/>
              </w:rPr>
              <w:t>837</w:t>
            </w:r>
          </w:p>
        </w:tc>
        <w:tc>
          <w:tcPr>
            <w:tcW w:w="1170" w:type="dxa"/>
            <w:tcBorders>
              <w:top w:val="nil"/>
              <w:left w:val="nil"/>
              <w:bottom w:val="nil"/>
              <w:right w:val="nil"/>
            </w:tcBorders>
          </w:tcPr>
          <w:p w14:paraId="12161F05" w14:textId="49E8FFEA"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0BC8DD65" w14:textId="77777777" w:rsidR="007F1A4D" w:rsidRPr="00D47DDD" w:rsidRDefault="007F1A4D" w:rsidP="007F1A4D">
            <w:pPr>
              <w:spacing w:after="0"/>
              <w:jc w:val="right"/>
              <w:rPr>
                <w:rFonts w:eastAsia="Times New Roman"/>
                <w:sz w:val="22"/>
              </w:rPr>
            </w:pPr>
            <w:r>
              <w:rPr>
                <w:rFonts w:eastAsia="Times New Roman"/>
                <w:sz w:val="22"/>
              </w:rPr>
              <w:t>68.38%</w:t>
            </w:r>
          </w:p>
        </w:tc>
        <w:tc>
          <w:tcPr>
            <w:tcW w:w="1080" w:type="dxa"/>
            <w:tcBorders>
              <w:top w:val="nil"/>
              <w:left w:val="nil"/>
              <w:bottom w:val="nil"/>
              <w:right w:val="nil"/>
            </w:tcBorders>
          </w:tcPr>
          <w:p w14:paraId="75B0B9BC" w14:textId="1DE5966F" w:rsidR="007F1A4D" w:rsidRPr="00D47DDD" w:rsidRDefault="007F1A4D" w:rsidP="007F1A4D">
            <w:pPr>
              <w:spacing w:after="0"/>
              <w:jc w:val="center"/>
              <w:rPr>
                <w:rFonts w:eastAsia="Times New Roman"/>
                <w:sz w:val="22"/>
              </w:rPr>
            </w:pPr>
          </w:p>
        </w:tc>
      </w:tr>
      <w:tr w:rsidR="007F1A4D" w:rsidRPr="00D47DDD" w14:paraId="0C3391E1" w14:textId="77777777" w:rsidTr="006F42B4">
        <w:trPr>
          <w:trHeight w:val="288"/>
        </w:trPr>
        <w:tc>
          <w:tcPr>
            <w:tcW w:w="3960" w:type="dxa"/>
            <w:tcBorders>
              <w:top w:val="nil"/>
              <w:left w:val="nil"/>
              <w:bottom w:val="nil"/>
              <w:right w:val="single" w:sz="4" w:space="0" w:color="auto"/>
            </w:tcBorders>
          </w:tcPr>
          <w:p w14:paraId="7DC513BA" w14:textId="47A1C899" w:rsidR="007F1A4D" w:rsidRPr="00BC401D" w:rsidRDefault="007F1A4D" w:rsidP="007F1A4D">
            <w:pPr>
              <w:spacing w:after="0"/>
              <w:rPr>
                <w:i/>
                <w:sz w:val="22"/>
              </w:rPr>
            </w:pPr>
            <w:r>
              <w:rPr>
                <w:sz w:val="22"/>
              </w:rPr>
              <w:lastRenderedPageBreak/>
              <w:t xml:space="preserve">   </w:t>
            </w:r>
            <w:r w:rsidRPr="00BC401D">
              <w:rPr>
                <w:i/>
                <w:sz w:val="22"/>
              </w:rPr>
              <w:t xml:space="preserve">  Unknown</w:t>
            </w:r>
          </w:p>
        </w:tc>
        <w:tc>
          <w:tcPr>
            <w:tcW w:w="1710" w:type="dxa"/>
            <w:tcBorders>
              <w:top w:val="nil"/>
              <w:left w:val="single" w:sz="4" w:space="0" w:color="auto"/>
              <w:bottom w:val="nil"/>
              <w:right w:val="nil"/>
            </w:tcBorders>
          </w:tcPr>
          <w:p w14:paraId="162284B5" w14:textId="77777777" w:rsidR="007F1A4D" w:rsidRPr="00D47DDD" w:rsidRDefault="007F1A4D" w:rsidP="007F1A4D">
            <w:pPr>
              <w:spacing w:after="0"/>
              <w:jc w:val="right"/>
              <w:rPr>
                <w:rFonts w:eastAsia="Times New Roman"/>
                <w:sz w:val="22"/>
              </w:rPr>
            </w:pPr>
            <w:r>
              <w:rPr>
                <w:rFonts w:eastAsia="Times New Roman"/>
                <w:sz w:val="22"/>
              </w:rPr>
              <w:t>299</w:t>
            </w:r>
          </w:p>
        </w:tc>
        <w:tc>
          <w:tcPr>
            <w:tcW w:w="1170" w:type="dxa"/>
            <w:tcBorders>
              <w:top w:val="nil"/>
              <w:left w:val="nil"/>
              <w:bottom w:val="nil"/>
              <w:right w:val="nil"/>
            </w:tcBorders>
          </w:tcPr>
          <w:p w14:paraId="0C92CC65" w14:textId="5647A8C6"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45EFA33A" w14:textId="77777777" w:rsidR="007F1A4D" w:rsidRPr="00D47DDD" w:rsidRDefault="007F1A4D" w:rsidP="007F1A4D">
            <w:pPr>
              <w:spacing w:after="0"/>
              <w:jc w:val="right"/>
              <w:rPr>
                <w:rFonts w:eastAsia="Times New Roman"/>
                <w:sz w:val="22"/>
              </w:rPr>
            </w:pPr>
            <w:r>
              <w:rPr>
                <w:rFonts w:eastAsia="Times New Roman"/>
                <w:sz w:val="22"/>
              </w:rPr>
              <w:t>24.43%</w:t>
            </w:r>
          </w:p>
        </w:tc>
        <w:tc>
          <w:tcPr>
            <w:tcW w:w="1080" w:type="dxa"/>
            <w:tcBorders>
              <w:top w:val="nil"/>
              <w:left w:val="nil"/>
              <w:bottom w:val="nil"/>
              <w:right w:val="nil"/>
            </w:tcBorders>
          </w:tcPr>
          <w:p w14:paraId="76B8020D" w14:textId="3BD06CED" w:rsidR="007F1A4D" w:rsidRPr="00D47DDD" w:rsidRDefault="007F1A4D" w:rsidP="007F1A4D">
            <w:pPr>
              <w:spacing w:after="0"/>
              <w:jc w:val="center"/>
              <w:rPr>
                <w:rFonts w:eastAsia="Times New Roman"/>
                <w:sz w:val="22"/>
              </w:rPr>
            </w:pPr>
          </w:p>
        </w:tc>
      </w:tr>
      <w:tr w:rsidR="007F1A4D" w:rsidRPr="00D47DDD" w14:paraId="5B00C362" w14:textId="77777777" w:rsidTr="006F42B4">
        <w:trPr>
          <w:trHeight w:val="288"/>
        </w:trPr>
        <w:tc>
          <w:tcPr>
            <w:tcW w:w="3960" w:type="dxa"/>
            <w:tcBorders>
              <w:top w:val="nil"/>
              <w:left w:val="nil"/>
              <w:bottom w:val="nil"/>
              <w:right w:val="single" w:sz="4" w:space="0" w:color="auto"/>
            </w:tcBorders>
          </w:tcPr>
          <w:p w14:paraId="3170209B" w14:textId="1045B6E4" w:rsidR="007F1A4D" w:rsidRPr="00713929" w:rsidRDefault="007F1A4D" w:rsidP="007F1A4D">
            <w:pPr>
              <w:spacing w:after="0"/>
              <w:rPr>
                <w:sz w:val="22"/>
              </w:rPr>
            </w:pPr>
            <w:r>
              <w:rPr>
                <w:sz w:val="22"/>
              </w:rPr>
              <w:t>Military Experience</w:t>
            </w:r>
          </w:p>
        </w:tc>
        <w:tc>
          <w:tcPr>
            <w:tcW w:w="1710" w:type="dxa"/>
            <w:tcBorders>
              <w:top w:val="nil"/>
              <w:left w:val="single" w:sz="4" w:space="0" w:color="auto"/>
              <w:bottom w:val="nil"/>
              <w:right w:val="nil"/>
            </w:tcBorders>
          </w:tcPr>
          <w:p w14:paraId="4E3DB77C" w14:textId="77777777" w:rsidR="007F1A4D" w:rsidRPr="00D47DDD" w:rsidRDefault="007F1A4D" w:rsidP="007F1A4D">
            <w:pPr>
              <w:spacing w:after="0"/>
              <w:jc w:val="right"/>
              <w:rPr>
                <w:rFonts w:eastAsia="Times New Roman"/>
                <w:sz w:val="22"/>
              </w:rPr>
            </w:pPr>
          </w:p>
        </w:tc>
        <w:tc>
          <w:tcPr>
            <w:tcW w:w="1170" w:type="dxa"/>
            <w:tcBorders>
              <w:top w:val="nil"/>
              <w:left w:val="nil"/>
              <w:bottom w:val="nil"/>
              <w:right w:val="nil"/>
            </w:tcBorders>
          </w:tcPr>
          <w:p w14:paraId="359FB92B" w14:textId="7143B9D9" w:rsidR="007F1A4D" w:rsidRPr="00D47DDD" w:rsidRDefault="007F1A4D" w:rsidP="007F1A4D">
            <w:pPr>
              <w:spacing w:after="0"/>
              <w:rPr>
                <w:rFonts w:eastAsia="Times New Roman"/>
                <w:sz w:val="22"/>
              </w:rPr>
            </w:pPr>
          </w:p>
        </w:tc>
        <w:tc>
          <w:tcPr>
            <w:tcW w:w="2160" w:type="dxa"/>
            <w:tcBorders>
              <w:top w:val="nil"/>
              <w:left w:val="nil"/>
              <w:bottom w:val="nil"/>
              <w:right w:val="nil"/>
            </w:tcBorders>
          </w:tcPr>
          <w:p w14:paraId="29BD1F64" w14:textId="77777777" w:rsidR="007F1A4D" w:rsidRPr="00D47DDD" w:rsidRDefault="007F1A4D" w:rsidP="007F1A4D">
            <w:pPr>
              <w:spacing w:after="0"/>
              <w:jc w:val="right"/>
              <w:rPr>
                <w:rFonts w:eastAsia="Times New Roman"/>
                <w:sz w:val="22"/>
              </w:rPr>
            </w:pPr>
          </w:p>
        </w:tc>
        <w:tc>
          <w:tcPr>
            <w:tcW w:w="1080" w:type="dxa"/>
            <w:tcBorders>
              <w:top w:val="nil"/>
              <w:left w:val="nil"/>
              <w:bottom w:val="nil"/>
              <w:right w:val="nil"/>
            </w:tcBorders>
          </w:tcPr>
          <w:p w14:paraId="4B8F7ED0" w14:textId="141CA39B" w:rsidR="007F1A4D" w:rsidRPr="00D47DDD" w:rsidRDefault="007F1A4D" w:rsidP="007F1A4D">
            <w:pPr>
              <w:spacing w:after="0"/>
              <w:rPr>
                <w:rFonts w:eastAsia="Times New Roman"/>
                <w:sz w:val="22"/>
              </w:rPr>
            </w:pPr>
          </w:p>
        </w:tc>
      </w:tr>
      <w:tr w:rsidR="007F1A4D" w:rsidRPr="00D47DDD" w14:paraId="40F6CA4E" w14:textId="77777777" w:rsidTr="006F42B4">
        <w:trPr>
          <w:trHeight w:val="288"/>
        </w:trPr>
        <w:tc>
          <w:tcPr>
            <w:tcW w:w="3960" w:type="dxa"/>
            <w:tcBorders>
              <w:top w:val="nil"/>
              <w:left w:val="nil"/>
              <w:bottom w:val="nil"/>
              <w:right w:val="single" w:sz="4" w:space="0" w:color="auto"/>
            </w:tcBorders>
          </w:tcPr>
          <w:p w14:paraId="47546DED" w14:textId="2BACE962" w:rsidR="007F1A4D" w:rsidRPr="00EB46FD" w:rsidRDefault="007F1A4D" w:rsidP="007F1A4D">
            <w:pPr>
              <w:spacing w:after="0"/>
              <w:rPr>
                <w:i/>
                <w:sz w:val="22"/>
              </w:rPr>
            </w:pPr>
            <w:r w:rsidRPr="00EB46FD">
              <w:rPr>
                <w:i/>
                <w:sz w:val="22"/>
              </w:rPr>
              <w:t xml:space="preserve">     Yes</w:t>
            </w:r>
          </w:p>
        </w:tc>
        <w:tc>
          <w:tcPr>
            <w:tcW w:w="1710" w:type="dxa"/>
            <w:tcBorders>
              <w:top w:val="nil"/>
              <w:left w:val="single" w:sz="4" w:space="0" w:color="auto"/>
              <w:bottom w:val="nil"/>
              <w:right w:val="nil"/>
            </w:tcBorders>
          </w:tcPr>
          <w:p w14:paraId="392BE172" w14:textId="08998494" w:rsidR="007F1A4D" w:rsidRPr="00D47DDD" w:rsidRDefault="007F1A4D" w:rsidP="007F1A4D">
            <w:pPr>
              <w:spacing w:after="0"/>
              <w:jc w:val="right"/>
              <w:rPr>
                <w:rFonts w:eastAsia="Times New Roman"/>
                <w:sz w:val="22"/>
              </w:rPr>
            </w:pPr>
            <w:r>
              <w:rPr>
                <w:rFonts w:eastAsia="Times New Roman"/>
                <w:sz w:val="22"/>
              </w:rPr>
              <w:t>65</w:t>
            </w:r>
          </w:p>
        </w:tc>
        <w:tc>
          <w:tcPr>
            <w:tcW w:w="1170" w:type="dxa"/>
            <w:tcBorders>
              <w:top w:val="nil"/>
              <w:left w:val="nil"/>
              <w:bottom w:val="nil"/>
              <w:right w:val="nil"/>
            </w:tcBorders>
          </w:tcPr>
          <w:p w14:paraId="0D0A0973" w14:textId="26FC53E9"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7F979E5F" w14:textId="3A356EC9" w:rsidR="007F1A4D" w:rsidRPr="00D47DDD" w:rsidRDefault="007F1A4D" w:rsidP="007F1A4D">
            <w:pPr>
              <w:spacing w:after="0"/>
              <w:jc w:val="right"/>
              <w:rPr>
                <w:rFonts w:eastAsia="Times New Roman"/>
                <w:sz w:val="22"/>
              </w:rPr>
            </w:pPr>
            <w:r>
              <w:rPr>
                <w:rFonts w:eastAsia="Times New Roman"/>
                <w:sz w:val="22"/>
              </w:rPr>
              <w:t>5.31%</w:t>
            </w:r>
          </w:p>
        </w:tc>
        <w:tc>
          <w:tcPr>
            <w:tcW w:w="1080" w:type="dxa"/>
            <w:tcBorders>
              <w:top w:val="nil"/>
              <w:left w:val="nil"/>
              <w:bottom w:val="nil"/>
              <w:right w:val="nil"/>
            </w:tcBorders>
          </w:tcPr>
          <w:p w14:paraId="551926EA" w14:textId="3B6DD52B" w:rsidR="007F1A4D" w:rsidRPr="00D47DDD" w:rsidRDefault="007F1A4D" w:rsidP="007F1A4D">
            <w:pPr>
              <w:spacing w:after="0"/>
              <w:jc w:val="center"/>
              <w:rPr>
                <w:rFonts w:eastAsia="Times New Roman"/>
                <w:sz w:val="22"/>
              </w:rPr>
            </w:pPr>
          </w:p>
        </w:tc>
      </w:tr>
      <w:tr w:rsidR="007F1A4D" w:rsidRPr="00D47DDD" w14:paraId="0A501D53" w14:textId="77777777" w:rsidTr="006F42B4">
        <w:trPr>
          <w:trHeight w:val="288"/>
        </w:trPr>
        <w:tc>
          <w:tcPr>
            <w:tcW w:w="3960" w:type="dxa"/>
            <w:tcBorders>
              <w:top w:val="nil"/>
              <w:left w:val="nil"/>
              <w:bottom w:val="nil"/>
              <w:right w:val="single" w:sz="4" w:space="0" w:color="auto"/>
            </w:tcBorders>
          </w:tcPr>
          <w:p w14:paraId="23F99298" w14:textId="11B6E0F2" w:rsidR="007F1A4D" w:rsidRPr="00EB46FD" w:rsidRDefault="007F1A4D" w:rsidP="007F1A4D">
            <w:pPr>
              <w:spacing w:after="0"/>
              <w:rPr>
                <w:i/>
                <w:sz w:val="22"/>
              </w:rPr>
            </w:pPr>
            <w:r w:rsidRPr="00EB46FD">
              <w:rPr>
                <w:i/>
                <w:sz w:val="22"/>
              </w:rPr>
              <w:t xml:space="preserve">     No</w:t>
            </w:r>
          </w:p>
        </w:tc>
        <w:tc>
          <w:tcPr>
            <w:tcW w:w="1710" w:type="dxa"/>
            <w:tcBorders>
              <w:top w:val="nil"/>
              <w:left w:val="single" w:sz="4" w:space="0" w:color="auto"/>
              <w:bottom w:val="nil"/>
              <w:right w:val="nil"/>
            </w:tcBorders>
          </w:tcPr>
          <w:p w14:paraId="64BCE304" w14:textId="01EF73DD" w:rsidR="007F1A4D" w:rsidRPr="00D47DDD" w:rsidRDefault="007F1A4D" w:rsidP="007F1A4D">
            <w:pPr>
              <w:spacing w:after="0"/>
              <w:jc w:val="right"/>
              <w:rPr>
                <w:rFonts w:eastAsia="Times New Roman"/>
                <w:sz w:val="22"/>
              </w:rPr>
            </w:pPr>
            <w:r>
              <w:rPr>
                <w:rFonts w:eastAsia="Times New Roman"/>
                <w:sz w:val="22"/>
              </w:rPr>
              <w:t>1,108</w:t>
            </w:r>
          </w:p>
        </w:tc>
        <w:tc>
          <w:tcPr>
            <w:tcW w:w="1170" w:type="dxa"/>
            <w:tcBorders>
              <w:top w:val="nil"/>
              <w:left w:val="nil"/>
              <w:bottom w:val="nil"/>
              <w:right w:val="nil"/>
            </w:tcBorders>
          </w:tcPr>
          <w:p w14:paraId="38798598" w14:textId="530AE9EC"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241EFD1D" w14:textId="5E29DB2C" w:rsidR="007F1A4D" w:rsidRPr="00D47DDD" w:rsidRDefault="007F1A4D" w:rsidP="007F1A4D">
            <w:pPr>
              <w:spacing w:after="0"/>
              <w:jc w:val="right"/>
              <w:rPr>
                <w:rFonts w:eastAsia="Times New Roman"/>
                <w:sz w:val="22"/>
              </w:rPr>
            </w:pPr>
            <w:r>
              <w:rPr>
                <w:rFonts w:eastAsia="Times New Roman"/>
                <w:sz w:val="22"/>
              </w:rPr>
              <w:t>90.52%</w:t>
            </w:r>
          </w:p>
        </w:tc>
        <w:tc>
          <w:tcPr>
            <w:tcW w:w="1080" w:type="dxa"/>
            <w:tcBorders>
              <w:top w:val="nil"/>
              <w:left w:val="nil"/>
              <w:bottom w:val="nil"/>
              <w:right w:val="nil"/>
            </w:tcBorders>
          </w:tcPr>
          <w:p w14:paraId="2906F0C9" w14:textId="09552FFF" w:rsidR="007F1A4D" w:rsidRPr="00D47DDD" w:rsidRDefault="007F1A4D" w:rsidP="007F1A4D">
            <w:pPr>
              <w:spacing w:after="0"/>
              <w:jc w:val="center"/>
              <w:rPr>
                <w:rFonts w:eastAsia="Times New Roman"/>
                <w:sz w:val="22"/>
              </w:rPr>
            </w:pPr>
          </w:p>
        </w:tc>
      </w:tr>
      <w:tr w:rsidR="007F1A4D" w:rsidRPr="00D47DDD" w14:paraId="78F49F7B" w14:textId="77777777" w:rsidTr="006F42B4">
        <w:trPr>
          <w:trHeight w:val="288"/>
        </w:trPr>
        <w:tc>
          <w:tcPr>
            <w:tcW w:w="3960" w:type="dxa"/>
            <w:tcBorders>
              <w:top w:val="nil"/>
              <w:left w:val="nil"/>
              <w:bottom w:val="nil"/>
              <w:right w:val="single" w:sz="4" w:space="0" w:color="auto"/>
            </w:tcBorders>
          </w:tcPr>
          <w:p w14:paraId="3E81A583" w14:textId="35597B64" w:rsidR="007F1A4D" w:rsidRPr="00EB46FD" w:rsidRDefault="007F1A4D" w:rsidP="007F1A4D">
            <w:pPr>
              <w:spacing w:after="0"/>
              <w:rPr>
                <w:i/>
                <w:sz w:val="22"/>
              </w:rPr>
            </w:pPr>
            <w:r w:rsidRPr="00EB46FD">
              <w:rPr>
                <w:i/>
                <w:sz w:val="22"/>
              </w:rPr>
              <w:t xml:space="preserve">     Unknown</w:t>
            </w:r>
          </w:p>
        </w:tc>
        <w:tc>
          <w:tcPr>
            <w:tcW w:w="1710" w:type="dxa"/>
            <w:tcBorders>
              <w:top w:val="nil"/>
              <w:left w:val="single" w:sz="4" w:space="0" w:color="auto"/>
              <w:bottom w:val="nil"/>
              <w:right w:val="nil"/>
            </w:tcBorders>
          </w:tcPr>
          <w:p w14:paraId="3AAC91FC" w14:textId="77777777" w:rsidR="007F1A4D" w:rsidRPr="00D47DDD" w:rsidRDefault="007F1A4D" w:rsidP="007F1A4D">
            <w:pPr>
              <w:spacing w:after="0"/>
              <w:jc w:val="right"/>
              <w:rPr>
                <w:rFonts w:eastAsia="Times New Roman"/>
                <w:sz w:val="22"/>
              </w:rPr>
            </w:pPr>
            <w:r>
              <w:rPr>
                <w:rFonts w:eastAsia="Times New Roman"/>
                <w:sz w:val="22"/>
              </w:rPr>
              <w:t>51</w:t>
            </w:r>
          </w:p>
        </w:tc>
        <w:tc>
          <w:tcPr>
            <w:tcW w:w="1170" w:type="dxa"/>
            <w:tcBorders>
              <w:top w:val="nil"/>
              <w:left w:val="nil"/>
              <w:bottom w:val="nil"/>
              <w:right w:val="nil"/>
            </w:tcBorders>
          </w:tcPr>
          <w:p w14:paraId="0EB75A73" w14:textId="62C50062"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065F6A58" w14:textId="77777777" w:rsidR="007F1A4D" w:rsidRPr="00D47DDD" w:rsidRDefault="007F1A4D" w:rsidP="007F1A4D">
            <w:pPr>
              <w:spacing w:after="0"/>
              <w:jc w:val="right"/>
              <w:rPr>
                <w:rFonts w:eastAsia="Times New Roman"/>
                <w:sz w:val="22"/>
              </w:rPr>
            </w:pPr>
            <w:r>
              <w:rPr>
                <w:rFonts w:eastAsia="Times New Roman"/>
                <w:sz w:val="22"/>
              </w:rPr>
              <w:t>4.17%</w:t>
            </w:r>
          </w:p>
        </w:tc>
        <w:tc>
          <w:tcPr>
            <w:tcW w:w="1080" w:type="dxa"/>
            <w:tcBorders>
              <w:top w:val="nil"/>
              <w:left w:val="nil"/>
              <w:bottom w:val="nil"/>
              <w:right w:val="nil"/>
            </w:tcBorders>
          </w:tcPr>
          <w:p w14:paraId="2B15A8AC" w14:textId="38328D31" w:rsidR="007F1A4D" w:rsidRPr="00D47DDD" w:rsidRDefault="007F1A4D" w:rsidP="007F1A4D">
            <w:pPr>
              <w:spacing w:after="0"/>
              <w:jc w:val="center"/>
              <w:rPr>
                <w:rFonts w:eastAsia="Times New Roman"/>
                <w:sz w:val="22"/>
              </w:rPr>
            </w:pPr>
          </w:p>
        </w:tc>
      </w:tr>
      <w:tr w:rsidR="007F1A4D" w:rsidRPr="00D47DDD" w14:paraId="3D87D9EB" w14:textId="77777777" w:rsidTr="006F42B4">
        <w:trPr>
          <w:trHeight w:val="288"/>
        </w:trPr>
        <w:tc>
          <w:tcPr>
            <w:tcW w:w="3960" w:type="dxa"/>
            <w:tcBorders>
              <w:top w:val="nil"/>
              <w:left w:val="nil"/>
              <w:bottom w:val="nil"/>
              <w:right w:val="single" w:sz="4" w:space="0" w:color="auto"/>
            </w:tcBorders>
          </w:tcPr>
          <w:p w14:paraId="5B971915" w14:textId="3FC93647" w:rsidR="007F1A4D" w:rsidRDefault="007F1A4D" w:rsidP="007F1A4D">
            <w:pPr>
              <w:spacing w:after="0"/>
              <w:rPr>
                <w:sz w:val="22"/>
              </w:rPr>
            </w:pPr>
            <w:r>
              <w:rPr>
                <w:sz w:val="22"/>
              </w:rPr>
              <w:t>Florida Residen</w:t>
            </w:r>
            <w:r w:rsidR="00BD5C7F">
              <w:rPr>
                <w:sz w:val="22"/>
              </w:rPr>
              <w:t>ce</w:t>
            </w:r>
          </w:p>
        </w:tc>
        <w:tc>
          <w:tcPr>
            <w:tcW w:w="1710" w:type="dxa"/>
            <w:tcBorders>
              <w:top w:val="nil"/>
              <w:left w:val="single" w:sz="4" w:space="0" w:color="auto"/>
              <w:bottom w:val="nil"/>
              <w:right w:val="nil"/>
            </w:tcBorders>
          </w:tcPr>
          <w:p w14:paraId="2DE47F3D" w14:textId="77777777" w:rsidR="007F1A4D" w:rsidRPr="00D47DDD" w:rsidRDefault="007F1A4D" w:rsidP="007F1A4D">
            <w:pPr>
              <w:spacing w:after="0"/>
              <w:jc w:val="right"/>
              <w:rPr>
                <w:rFonts w:eastAsia="Times New Roman"/>
                <w:sz w:val="22"/>
              </w:rPr>
            </w:pPr>
          </w:p>
        </w:tc>
        <w:tc>
          <w:tcPr>
            <w:tcW w:w="1170" w:type="dxa"/>
            <w:tcBorders>
              <w:top w:val="nil"/>
              <w:left w:val="nil"/>
              <w:bottom w:val="nil"/>
              <w:right w:val="nil"/>
            </w:tcBorders>
          </w:tcPr>
          <w:p w14:paraId="4EAA2DF1" w14:textId="5DEED169" w:rsidR="007F1A4D" w:rsidRPr="00D47DDD" w:rsidRDefault="007F1A4D" w:rsidP="007F1A4D">
            <w:pPr>
              <w:spacing w:after="0"/>
              <w:rPr>
                <w:rFonts w:eastAsia="Times New Roman"/>
                <w:sz w:val="22"/>
              </w:rPr>
            </w:pPr>
          </w:p>
        </w:tc>
        <w:tc>
          <w:tcPr>
            <w:tcW w:w="2160" w:type="dxa"/>
            <w:tcBorders>
              <w:top w:val="nil"/>
              <w:left w:val="nil"/>
              <w:bottom w:val="nil"/>
              <w:right w:val="nil"/>
            </w:tcBorders>
          </w:tcPr>
          <w:p w14:paraId="0F3894A5" w14:textId="77777777" w:rsidR="007F1A4D" w:rsidRPr="00D47DDD" w:rsidRDefault="007F1A4D" w:rsidP="007F1A4D">
            <w:pPr>
              <w:spacing w:after="0"/>
              <w:jc w:val="right"/>
              <w:rPr>
                <w:rFonts w:eastAsia="Times New Roman"/>
                <w:sz w:val="22"/>
              </w:rPr>
            </w:pPr>
          </w:p>
        </w:tc>
        <w:tc>
          <w:tcPr>
            <w:tcW w:w="1080" w:type="dxa"/>
            <w:tcBorders>
              <w:top w:val="nil"/>
              <w:left w:val="nil"/>
              <w:bottom w:val="nil"/>
              <w:right w:val="nil"/>
            </w:tcBorders>
          </w:tcPr>
          <w:p w14:paraId="71B1654B" w14:textId="53A58051" w:rsidR="007F1A4D" w:rsidRPr="00D47DDD" w:rsidRDefault="007F1A4D" w:rsidP="007F1A4D">
            <w:pPr>
              <w:spacing w:after="0"/>
              <w:rPr>
                <w:rFonts w:eastAsia="Times New Roman"/>
                <w:sz w:val="22"/>
              </w:rPr>
            </w:pPr>
          </w:p>
        </w:tc>
      </w:tr>
      <w:tr w:rsidR="007F1A4D" w:rsidRPr="00D47DDD" w14:paraId="48440CAF" w14:textId="77777777" w:rsidTr="006F42B4">
        <w:trPr>
          <w:trHeight w:val="288"/>
        </w:trPr>
        <w:tc>
          <w:tcPr>
            <w:tcW w:w="3960" w:type="dxa"/>
            <w:tcBorders>
              <w:top w:val="nil"/>
              <w:left w:val="nil"/>
              <w:bottom w:val="nil"/>
              <w:right w:val="single" w:sz="4" w:space="0" w:color="auto"/>
            </w:tcBorders>
          </w:tcPr>
          <w:p w14:paraId="1FBFE6F6" w14:textId="1B86DD02" w:rsidR="007F1A4D" w:rsidRDefault="007F1A4D" w:rsidP="007F1A4D">
            <w:pPr>
              <w:spacing w:after="0"/>
              <w:rPr>
                <w:sz w:val="22"/>
              </w:rPr>
            </w:pPr>
            <w:r w:rsidRPr="00EB46FD">
              <w:rPr>
                <w:i/>
                <w:sz w:val="22"/>
              </w:rPr>
              <w:t xml:space="preserve">     </w:t>
            </w:r>
            <w:r w:rsidR="00BD5C7F">
              <w:rPr>
                <w:i/>
                <w:sz w:val="22"/>
              </w:rPr>
              <w:t>Resident</w:t>
            </w:r>
          </w:p>
        </w:tc>
        <w:tc>
          <w:tcPr>
            <w:tcW w:w="1710" w:type="dxa"/>
            <w:tcBorders>
              <w:top w:val="nil"/>
              <w:left w:val="single" w:sz="4" w:space="0" w:color="auto"/>
              <w:bottom w:val="nil"/>
              <w:right w:val="nil"/>
            </w:tcBorders>
          </w:tcPr>
          <w:p w14:paraId="3EB60BEC" w14:textId="25F569C9" w:rsidR="007F1A4D" w:rsidRPr="00D47DDD" w:rsidRDefault="007F1A4D" w:rsidP="007F1A4D">
            <w:pPr>
              <w:spacing w:after="0"/>
              <w:jc w:val="right"/>
              <w:rPr>
                <w:rFonts w:eastAsia="Times New Roman"/>
                <w:sz w:val="22"/>
              </w:rPr>
            </w:pPr>
            <w:r>
              <w:rPr>
                <w:rFonts w:eastAsia="Times New Roman"/>
                <w:sz w:val="22"/>
              </w:rPr>
              <w:t>1,121</w:t>
            </w:r>
          </w:p>
        </w:tc>
        <w:tc>
          <w:tcPr>
            <w:tcW w:w="1170" w:type="dxa"/>
            <w:tcBorders>
              <w:top w:val="nil"/>
              <w:left w:val="nil"/>
              <w:bottom w:val="nil"/>
              <w:right w:val="nil"/>
            </w:tcBorders>
          </w:tcPr>
          <w:p w14:paraId="200C35FF" w14:textId="71009737" w:rsidR="007F1A4D" w:rsidRPr="00D47DDD" w:rsidRDefault="007F1A4D" w:rsidP="007F1A4D">
            <w:pPr>
              <w:spacing w:after="0"/>
              <w:rPr>
                <w:rFonts w:eastAsia="Times New Roman"/>
                <w:sz w:val="22"/>
              </w:rPr>
            </w:pPr>
          </w:p>
        </w:tc>
        <w:tc>
          <w:tcPr>
            <w:tcW w:w="2160" w:type="dxa"/>
            <w:tcBorders>
              <w:top w:val="nil"/>
              <w:left w:val="nil"/>
              <w:bottom w:val="nil"/>
              <w:right w:val="nil"/>
            </w:tcBorders>
          </w:tcPr>
          <w:p w14:paraId="397A5CBB" w14:textId="2663544A" w:rsidR="007F1A4D" w:rsidRPr="00D47DDD" w:rsidRDefault="007F1A4D" w:rsidP="007F1A4D">
            <w:pPr>
              <w:spacing w:after="0"/>
              <w:jc w:val="right"/>
              <w:rPr>
                <w:rFonts w:eastAsia="Times New Roman"/>
                <w:sz w:val="22"/>
              </w:rPr>
            </w:pPr>
            <w:r>
              <w:rPr>
                <w:rFonts w:eastAsia="Times New Roman"/>
                <w:sz w:val="22"/>
              </w:rPr>
              <w:t>91.58%</w:t>
            </w:r>
          </w:p>
        </w:tc>
        <w:tc>
          <w:tcPr>
            <w:tcW w:w="1080" w:type="dxa"/>
            <w:tcBorders>
              <w:top w:val="nil"/>
              <w:left w:val="nil"/>
              <w:bottom w:val="nil"/>
              <w:right w:val="nil"/>
            </w:tcBorders>
          </w:tcPr>
          <w:p w14:paraId="0F804E2F" w14:textId="5B93358E" w:rsidR="007F1A4D" w:rsidRPr="00D47DDD" w:rsidRDefault="007F1A4D" w:rsidP="007F1A4D">
            <w:pPr>
              <w:spacing w:after="0"/>
              <w:rPr>
                <w:rFonts w:eastAsia="Times New Roman"/>
                <w:sz w:val="22"/>
              </w:rPr>
            </w:pPr>
          </w:p>
        </w:tc>
      </w:tr>
      <w:tr w:rsidR="007F1A4D" w:rsidRPr="00D47DDD" w14:paraId="5C557B11" w14:textId="77777777" w:rsidTr="006F42B4">
        <w:trPr>
          <w:trHeight w:val="288"/>
        </w:trPr>
        <w:tc>
          <w:tcPr>
            <w:tcW w:w="3960" w:type="dxa"/>
            <w:tcBorders>
              <w:top w:val="nil"/>
              <w:left w:val="nil"/>
              <w:bottom w:val="nil"/>
              <w:right w:val="single" w:sz="4" w:space="0" w:color="auto"/>
            </w:tcBorders>
          </w:tcPr>
          <w:p w14:paraId="75A76479" w14:textId="45879887" w:rsidR="007F1A4D" w:rsidRDefault="007F1A4D" w:rsidP="007F1A4D">
            <w:pPr>
              <w:spacing w:after="0"/>
              <w:rPr>
                <w:sz w:val="22"/>
              </w:rPr>
            </w:pPr>
            <w:r w:rsidRPr="00EB46FD">
              <w:rPr>
                <w:i/>
                <w:sz w:val="22"/>
              </w:rPr>
              <w:t xml:space="preserve">     </w:t>
            </w:r>
            <w:r w:rsidR="00BD5C7F">
              <w:rPr>
                <w:i/>
                <w:sz w:val="22"/>
              </w:rPr>
              <w:t>Non-resident</w:t>
            </w:r>
          </w:p>
        </w:tc>
        <w:tc>
          <w:tcPr>
            <w:tcW w:w="1710" w:type="dxa"/>
            <w:tcBorders>
              <w:top w:val="nil"/>
              <w:left w:val="single" w:sz="4" w:space="0" w:color="auto"/>
              <w:bottom w:val="nil"/>
              <w:right w:val="nil"/>
            </w:tcBorders>
          </w:tcPr>
          <w:p w14:paraId="41BEBF40" w14:textId="3BA4727F" w:rsidR="007F1A4D" w:rsidRPr="00D47DDD" w:rsidRDefault="007F1A4D" w:rsidP="007F1A4D">
            <w:pPr>
              <w:spacing w:after="0"/>
              <w:jc w:val="right"/>
              <w:rPr>
                <w:rFonts w:eastAsia="Times New Roman"/>
                <w:sz w:val="22"/>
              </w:rPr>
            </w:pPr>
            <w:r>
              <w:rPr>
                <w:rFonts w:eastAsia="Times New Roman"/>
                <w:sz w:val="22"/>
              </w:rPr>
              <w:t>81</w:t>
            </w:r>
          </w:p>
        </w:tc>
        <w:tc>
          <w:tcPr>
            <w:tcW w:w="1170" w:type="dxa"/>
            <w:tcBorders>
              <w:top w:val="nil"/>
              <w:left w:val="nil"/>
              <w:bottom w:val="nil"/>
              <w:right w:val="nil"/>
            </w:tcBorders>
          </w:tcPr>
          <w:p w14:paraId="31C65A10" w14:textId="367F03BA" w:rsidR="007F1A4D" w:rsidRPr="00D47DDD" w:rsidRDefault="007F1A4D" w:rsidP="007F1A4D">
            <w:pPr>
              <w:spacing w:after="0"/>
              <w:rPr>
                <w:rFonts w:eastAsia="Times New Roman"/>
                <w:sz w:val="22"/>
              </w:rPr>
            </w:pPr>
          </w:p>
        </w:tc>
        <w:tc>
          <w:tcPr>
            <w:tcW w:w="2160" w:type="dxa"/>
            <w:tcBorders>
              <w:top w:val="nil"/>
              <w:left w:val="nil"/>
              <w:bottom w:val="nil"/>
              <w:right w:val="nil"/>
            </w:tcBorders>
          </w:tcPr>
          <w:p w14:paraId="748F3045" w14:textId="0345B3EA" w:rsidR="007F1A4D" w:rsidRPr="00D47DDD" w:rsidRDefault="007F1A4D" w:rsidP="007F1A4D">
            <w:pPr>
              <w:spacing w:after="0"/>
              <w:jc w:val="right"/>
              <w:rPr>
                <w:rFonts w:eastAsia="Times New Roman"/>
                <w:sz w:val="22"/>
              </w:rPr>
            </w:pPr>
            <w:r>
              <w:rPr>
                <w:rFonts w:eastAsia="Times New Roman"/>
                <w:sz w:val="22"/>
              </w:rPr>
              <w:t>6.62%</w:t>
            </w:r>
          </w:p>
        </w:tc>
        <w:tc>
          <w:tcPr>
            <w:tcW w:w="1080" w:type="dxa"/>
            <w:tcBorders>
              <w:top w:val="nil"/>
              <w:left w:val="nil"/>
              <w:bottom w:val="nil"/>
              <w:right w:val="nil"/>
            </w:tcBorders>
          </w:tcPr>
          <w:p w14:paraId="2179E511" w14:textId="2D2160E6" w:rsidR="007F1A4D" w:rsidRPr="00D47DDD" w:rsidRDefault="007F1A4D" w:rsidP="007F1A4D">
            <w:pPr>
              <w:spacing w:after="0"/>
              <w:rPr>
                <w:rFonts w:eastAsia="Times New Roman"/>
                <w:sz w:val="22"/>
              </w:rPr>
            </w:pPr>
          </w:p>
        </w:tc>
      </w:tr>
      <w:tr w:rsidR="007F1A4D" w:rsidRPr="00D47DDD" w14:paraId="0C1D6855" w14:textId="77777777" w:rsidTr="006F42B4">
        <w:trPr>
          <w:trHeight w:val="288"/>
        </w:trPr>
        <w:tc>
          <w:tcPr>
            <w:tcW w:w="3960" w:type="dxa"/>
            <w:tcBorders>
              <w:top w:val="nil"/>
              <w:left w:val="nil"/>
              <w:bottom w:val="single" w:sz="4" w:space="0" w:color="auto"/>
              <w:right w:val="single" w:sz="4" w:space="0" w:color="auto"/>
            </w:tcBorders>
          </w:tcPr>
          <w:p w14:paraId="565F165D" w14:textId="55A1591B" w:rsidR="007F1A4D" w:rsidRDefault="007F1A4D" w:rsidP="007F1A4D">
            <w:pPr>
              <w:spacing w:after="0"/>
              <w:rPr>
                <w:sz w:val="22"/>
              </w:rPr>
            </w:pPr>
            <w:r w:rsidRPr="00EB46FD">
              <w:rPr>
                <w:i/>
                <w:sz w:val="22"/>
              </w:rPr>
              <w:t xml:space="preserve">     Unknown</w:t>
            </w:r>
          </w:p>
        </w:tc>
        <w:tc>
          <w:tcPr>
            <w:tcW w:w="1710" w:type="dxa"/>
            <w:tcBorders>
              <w:top w:val="nil"/>
              <w:left w:val="single" w:sz="4" w:space="0" w:color="auto"/>
              <w:bottom w:val="single" w:sz="4" w:space="0" w:color="auto"/>
              <w:right w:val="nil"/>
            </w:tcBorders>
          </w:tcPr>
          <w:p w14:paraId="63B27D5D" w14:textId="21F938D0" w:rsidR="007F1A4D" w:rsidRPr="00D47DDD" w:rsidRDefault="007F1A4D" w:rsidP="007F1A4D">
            <w:pPr>
              <w:spacing w:after="0"/>
              <w:jc w:val="right"/>
              <w:rPr>
                <w:rFonts w:eastAsia="Times New Roman"/>
                <w:sz w:val="22"/>
              </w:rPr>
            </w:pPr>
            <w:r>
              <w:rPr>
                <w:rFonts w:eastAsia="Times New Roman"/>
                <w:sz w:val="22"/>
              </w:rPr>
              <w:t>22</w:t>
            </w:r>
          </w:p>
        </w:tc>
        <w:tc>
          <w:tcPr>
            <w:tcW w:w="1170" w:type="dxa"/>
            <w:tcBorders>
              <w:top w:val="nil"/>
              <w:left w:val="nil"/>
              <w:bottom w:val="single" w:sz="4" w:space="0" w:color="auto"/>
              <w:right w:val="nil"/>
            </w:tcBorders>
          </w:tcPr>
          <w:p w14:paraId="18E9C9CD" w14:textId="4172945D" w:rsidR="007F1A4D" w:rsidRPr="00D47DDD" w:rsidRDefault="007F1A4D" w:rsidP="007F1A4D">
            <w:pPr>
              <w:spacing w:after="0"/>
              <w:rPr>
                <w:rFonts w:eastAsia="Times New Roman"/>
                <w:sz w:val="22"/>
              </w:rPr>
            </w:pPr>
          </w:p>
        </w:tc>
        <w:tc>
          <w:tcPr>
            <w:tcW w:w="2160" w:type="dxa"/>
            <w:tcBorders>
              <w:top w:val="nil"/>
              <w:left w:val="nil"/>
              <w:bottom w:val="single" w:sz="4" w:space="0" w:color="auto"/>
              <w:right w:val="nil"/>
            </w:tcBorders>
          </w:tcPr>
          <w:p w14:paraId="57E4B965" w14:textId="283E3AAF" w:rsidR="007F1A4D" w:rsidRPr="00D47DDD" w:rsidRDefault="007F1A4D" w:rsidP="007F1A4D">
            <w:pPr>
              <w:spacing w:after="0"/>
              <w:jc w:val="right"/>
              <w:rPr>
                <w:rFonts w:eastAsia="Times New Roman"/>
                <w:sz w:val="22"/>
              </w:rPr>
            </w:pPr>
            <w:r>
              <w:rPr>
                <w:rFonts w:eastAsia="Times New Roman"/>
                <w:sz w:val="22"/>
              </w:rPr>
              <w:t>1.80%</w:t>
            </w:r>
          </w:p>
        </w:tc>
        <w:tc>
          <w:tcPr>
            <w:tcW w:w="1080" w:type="dxa"/>
            <w:tcBorders>
              <w:top w:val="nil"/>
              <w:left w:val="nil"/>
              <w:bottom w:val="single" w:sz="4" w:space="0" w:color="auto"/>
              <w:right w:val="nil"/>
            </w:tcBorders>
          </w:tcPr>
          <w:p w14:paraId="5BEF730C" w14:textId="4F0397D6" w:rsidR="007F1A4D" w:rsidRPr="00D47DDD" w:rsidRDefault="007F1A4D" w:rsidP="007F1A4D">
            <w:pPr>
              <w:spacing w:after="0"/>
              <w:rPr>
                <w:rFonts w:eastAsia="Times New Roman"/>
                <w:sz w:val="22"/>
              </w:rPr>
            </w:pPr>
          </w:p>
        </w:tc>
      </w:tr>
    </w:tbl>
    <w:p w14:paraId="3FA9F8AE" w14:textId="5736D36A" w:rsidR="00237577" w:rsidRDefault="00237577" w:rsidP="003323F7">
      <w:pPr>
        <w:spacing w:after="120"/>
      </w:pPr>
    </w:p>
    <w:p w14:paraId="51951A8E" w14:textId="518932D5" w:rsidR="00774445" w:rsidRDefault="00343393" w:rsidP="00183A2C">
      <w:pPr>
        <w:pStyle w:val="Heading2"/>
      </w:pPr>
      <w:bookmarkStart w:id="26" w:name="_Toc17788957"/>
      <w:r>
        <w:t>O</w:t>
      </w:r>
      <w:r w:rsidR="00751ADD">
        <w:t>VERDOSE CHARACTERISTICS</w:t>
      </w:r>
      <w:bookmarkEnd w:id="26"/>
    </w:p>
    <w:p w14:paraId="00A89836" w14:textId="6ED466EC" w:rsidR="00604CC0" w:rsidRPr="00F315D4" w:rsidRDefault="00D2121F" w:rsidP="00F315D4">
      <w:pPr>
        <w:tabs>
          <w:tab w:val="left" w:pos="720"/>
        </w:tabs>
        <w:spacing w:after="220"/>
        <w:rPr>
          <w:sz w:val="22"/>
          <w:szCs w:val="22"/>
        </w:rPr>
      </w:pPr>
      <w:r w:rsidRPr="003563A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4C5EB32A" wp14:editId="24FFE1F2">
                <wp:simplePos x="0" y="0"/>
                <wp:positionH relativeFrom="margin">
                  <wp:align>center</wp:align>
                </wp:positionH>
                <wp:positionV relativeFrom="paragraph">
                  <wp:posOffset>713105</wp:posOffset>
                </wp:positionV>
                <wp:extent cx="4646930" cy="1454785"/>
                <wp:effectExtent l="0" t="0" r="20320" b="120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1454785"/>
                        </a:xfrm>
                        <a:prstGeom prst="rect">
                          <a:avLst/>
                        </a:prstGeom>
                        <a:solidFill>
                          <a:srgbClr val="FFFFFF"/>
                        </a:solidFill>
                        <a:ln w="9525">
                          <a:solidFill>
                            <a:srgbClr val="000000"/>
                          </a:solidFill>
                          <a:miter lim="800000"/>
                          <a:headEnd/>
                          <a:tailEnd/>
                        </a:ln>
                      </wps:spPr>
                      <wps:txbx>
                        <w:txbxContent>
                          <w:p w14:paraId="799C665C" w14:textId="77777777" w:rsidR="009A716C" w:rsidRPr="00D2121F" w:rsidRDefault="009A716C" w:rsidP="008F5DA5">
                            <w:pPr>
                              <w:tabs>
                                <w:tab w:val="left" w:pos="720"/>
                              </w:tabs>
                              <w:spacing w:after="0"/>
                              <w:rPr>
                                <w:rFonts w:ascii="Times New Roman" w:hAnsi="Times New Roman" w:cs="Times New Roman"/>
                                <w:color w:val="D6AD00"/>
                                <w:sz w:val="12"/>
                              </w:rPr>
                            </w:pPr>
                          </w:p>
                          <w:p w14:paraId="790F7B0B" w14:textId="124D3476" w:rsidR="009A716C" w:rsidRPr="00F315D4" w:rsidRDefault="009A716C" w:rsidP="00E75DE8">
                            <w:pPr>
                              <w:tabs>
                                <w:tab w:val="left" w:pos="720"/>
                              </w:tabs>
                              <w:spacing w:after="0"/>
                              <w:jc w:val="center"/>
                            </w:pPr>
                            <w:r w:rsidRPr="00F315D4">
                              <w:rPr>
                                <w:color w:val="D6AD00"/>
                                <w:sz w:val="52"/>
                              </w:rPr>
                              <w:t>About 5</w:t>
                            </w:r>
                            <w:r>
                              <w:rPr>
                                <w:color w:val="D6AD00"/>
                                <w:sz w:val="52"/>
                              </w:rPr>
                              <w:t xml:space="preserve"> percent</w:t>
                            </w:r>
                            <w:r w:rsidRPr="00F315D4">
                              <w:rPr>
                                <w:color w:val="D6AD00"/>
                                <w:sz w:val="52"/>
                              </w:rPr>
                              <w:t xml:space="preserve"> of decedents fatally overdosed </w:t>
                            </w:r>
                            <w:r w:rsidR="009772D8">
                              <w:rPr>
                                <w:color w:val="D6AD00"/>
                                <w:sz w:val="52"/>
                              </w:rPr>
                              <w:t xml:space="preserve">solely </w:t>
                            </w:r>
                            <w:r w:rsidRPr="00F315D4">
                              <w:rPr>
                                <w:color w:val="D6AD00"/>
                                <w:sz w:val="52"/>
                              </w:rPr>
                              <w:t>on their own prescription opioid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EB32A" id="_x0000_t202" coordsize="21600,21600" o:spt="202" path="m,l,21600r21600,l21600,xe">
                <v:stroke joinstyle="miter"/>
                <v:path gradientshapeok="t" o:connecttype="rect"/>
              </v:shapetype>
              <v:shape id="Text Box 2" o:spid="_x0000_s1026" type="#_x0000_t202" style="position:absolute;margin-left:0;margin-top:56.15pt;width:365.9pt;height:114.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">
                <v:textbox>
                  <w:txbxContent>
                    <w:p w14:paraId="799C665C" w14:textId="77777777" w:rsidR="009A716C" w:rsidRPr="00D2121F" w:rsidRDefault="009A716C" w:rsidP="008F5DA5">
                      <w:pPr>
                        <w:tabs>
                          <w:tab w:val="left" w:pos="720"/>
                        </w:tabs>
                        <w:spacing w:after="0"/>
                        <w:rPr>
                          <w:rFonts w:ascii="Times New Roman" w:hAnsi="Times New Roman" w:cs="Times New Roman"/>
                          <w:color w:val="D6AD00"/>
                          <w:sz w:val="12"/>
                        </w:rPr>
                      </w:pPr>
                    </w:p>
                    <w:p w14:paraId="790F7B0B" w14:textId="124D3476" w:rsidR="009A716C" w:rsidRPr="00F315D4" w:rsidRDefault="009A716C" w:rsidP="00E75DE8">
                      <w:pPr>
                        <w:tabs>
                          <w:tab w:val="left" w:pos="720"/>
                        </w:tabs>
                        <w:spacing w:after="0"/>
                        <w:jc w:val="center"/>
                      </w:pPr>
                      <w:r w:rsidRPr="00F315D4">
                        <w:rPr>
                          <w:color w:val="D6AD00"/>
                          <w:sz w:val="52"/>
                        </w:rPr>
                        <w:t>About 5</w:t>
                      </w:r>
                      <w:r>
                        <w:rPr>
                          <w:color w:val="D6AD00"/>
                          <w:sz w:val="52"/>
                        </w:rPr>
                        <w:t xml:space="preserve"> percent</w:t>
                      </w:r>
                      <w:r w:rsidRPr="00F315D4">
                        <w:rPr>
                          <w:color w:val="D6AD00"/>
                          <w:sz w:val="52"/>
                        </w:rPr>
                        <w:t xml:space="preserve"> of decedents fatally overdosed </w:t>
                      </w:r>
                      <w:r w:rsidR="009772D8">
                        <w:rPr>
                          <w:color w:val="D6AD00"/>
                          <w:sz w:val="52"/>
                        </w:rPr>
                        <w:t xml:space="preserve">solely </w:t>
                      </w:r>
                      <w:r w:rsidRPr="00F315D4">
                        <w:rPr>
                          <w:color w:val="D6AD00"/>
                          <w:sz w:val="52"/>
                        </w:rPr>
                        <w:t>on their own prescription opioid</w:t>
                      </w:r>
                    </w:p>
                  </w:txbxContent>
                </v:textbox>
                <w10:wrap type="topAndBottom" anchorx="margin"/>
              </v:shape>
            </w:pict>
          </mc:Fallback>
        </mc:AlternateContent>
      </w:r>
      <w:r w:rsidR="00A570C3" w:rsidRPr="00F315D4">
        <w:rPr>
          <w:sz w:val="22"/>
          <w:szCs w:val="22"/>
        </w:rPr>
        <w:t>This section details the characteristics of all fatal opioid overdoses in Florida’s reporting areas between January</w:t>
      </w:r>
      <w:r w:rsidR="009E7C2A">
        <w:rPr>
          <w:sz w:val="22"/>
          <w:szCs w:val="22"/>
        </w:rPr>
        <w:t xml:space="preserve"> 1,</w:t>
      </w:r>
      <w:r w:rsidR="00A570C3" w:rsidRPr="00F315D4">
        <w:rPr>
          <w:sz w:val="22"/>
          <w:szCs w:val="22"/>
        </w:rPr>
        <w:t xml:space="preserve"> 2018 and June 30</w:t>
      </w:r>
      <w:r w:rsidR="009E7C2A">
        <w:rPr>
          <w:sz w:val="22"/>
          <w:szCs w:val="22"/>
        </w:rPr>
        <w:t>,</w:t>
      </w:r>
      <w:r w:rsidR="00A570C3" w:rsidRPr="00F315D4">
        <w:rPr>
          <w:sz w:val="22"/>
          <w:szCs w:val="22"/>
        </w:rPr>
        <w:t xml:space="preserve"> 2018.</w:t>
      </w:r>
      <w:r w:rsidR="0097203E" w:rsidRPr="00F315D4">
        <w:rPr>
          <w:sz w:val="22"/>
          <w:szCs w:val="22"/>
        </w:rPr>
        <w:t xml:space="preserve"> </w:t>
      </w:r>
      <w:r w:rsidR="00E171CD" w:rsidRPr="00F315D4">
        <w:rPr>
          <w:sz w:val="22"/>
          <w:szCs w:val="22"/>
        </w:rPr>
        <w:t>Characteristics include</w:t>
      </w:r>
      <w:r w:rsidR="001707B5" w:rsidRPr="00F315D4">
        <w:rPr>
          <w:sz w:val="22"/>
          <w:szCs w:val="22"/>
        </w:rPr>
        <w:t xml:space="preserve"> abuse of </w:t>
      </w:r>
      <w:r w:rsidR="00C1702B" w:rsidRPr="00F315D4">
        <w:rPr>
          <w:sz w:val="22"/>
          <w:szCs w:val="22"/>
        </w:rPr>
        <w:t>own prescription opioid,</w:t>
      </w:r>
      <w:r w:rsidR="00604CC0" w:rsidRPr="00F315D4">
        <w:rPr>
          <w:sz w:val="22"/>
          <w:szCs w:val="22"/>
        </w:rPr>
        <w:t xml:space="preserve"> polysubstance drug abuse, recent release from institution, naloxone administration by location.</w:t>
      </w:r>
    </w:p>
    <w:p w14:paraId="5634CEB3" w14:textId="3E916FC3" w:rsidR="00D2121F" w:rsidRPr="003323F7" w:rsidRDefault="00D2121F" w:rsidP="003323F7">
      <w:pPr>
        <w:tabs>
          <w:tab w:val="left" w:pos="720"/>
        </w:tabs>
        <w:spacing w:after="120"/>
        <w:rPr>
          <w:rFonts w:ascii="Times New Roman" w:hAnsi="Times New Roman" w:cs="Times New Roman"/>
          <w:sz w:val="12"/>
        </w:rPr>
      </w:pPr>
    </w:p>
    <w:p w14:paraId="6C796AC6" w14:textId="54E9AE2A" w:rsidR="00350BBB" w:rsidRPr="00F315D4" w:rsidRDefault="00600A89" w:rsidP="00F315D4">
      <w:pPr>
        <w:tabs>
          <w:tab w:val="left" w:pos="720"/>
        </w:tabs>
        <w:spacing w:after="220"/>
        <w:rPr>
          <w:sz w:val="22"/>
          <w:szCs w:val="22"/>
        </w:rPr>
      </w:pPr>
      <w:r w:rsidRPr="00F315D4">
        <w:rPr>
          <w:sz w:val="22"/>
          <w:szCs w:val="22"/>
        </w:rPr>
        <w:t xml:space="preserve">Frequency and the percent of </w:t>
      </w:r>
      <w:proofErr w:type="gramStart"/>
      <w:r w:rsidRPr="00F315D4">
        <w:rPr>
          <w:sz w:val="22"/>
          <w:szCs w:val="22"/>
        </w:rPr>
        <w:t>w</w:t>
      </w:r>
      <w:r w:rsidR="00282A72" w:rsidRPr="00F315D4">
        <w:rPr>
          <w:sz w:val="22"/>
          <w:szCs w:val="22"/>
        </w:rPr>
        <w:t>hether or not</w:t>
      </w:r>
      <w:proofErr w:type="gramEnd"/>
      <w:r w:rsidR="00282A72" w:rsidRPr="00F315D4">
        <w:rPr>
          <w:sz w:val="22"/>
          <w:szCs w:val="22"/>
        </w:rPr>
        <w:t xml:space="preserve">, or to whom, </w:t>
      </w:r>
      <w:r w:rsidRPr="00F315D4">
        <w:rPr>
          <w:sz w:val="22"/>
          <w:szCs w:val="22"/>
        </w:rPr>
        <w:t xml:space="preserve">the opiate a decedent fatally overdosed on are presented in Table </w:t>
      </w:r>
      <w:r w:rsidR="003323F7" w:rsidRPr="00F315D4">
        <w:rPr>
          <w:sz w:val="22"/>
          <w:szCs w:val="22"/>
        </w:rPr>
        <w:t>5</w:t>
      </w:r>
      <w:r w:rsidRPr="00F315D4">
        <w:rPr>
          <w:sz w:val="22"/>
          <w:szCs w:val="22"/>
        </w:rPr>
        <w:t>.</w:t>
      </w:r>
      <w:r w:rsidR="0055107B" w:rsidRPr="00F315D4">
        <w:rPr>
          <w:sz w:val="22"/>
          <w:szCs w:val="22"/>
        </w:rPr>
        <w:t xml:space="preserve"> Only 4.5</w:t>
      </w:r>
      <w:r w:rsidR="009E7C2A">
        <w:rPr>
          <w:sz w:val="22"/>
          <w:szCs w:val="22"/>
        </w:rPr>
        <w:t xml:space="preserve"> percent</w:t>
      </w:r>
      <w:r w:rsidR="0055107B" w:rsidRPr="00F315D4">
        <w:rPr>
          <w:sz w:val="22"/>
          <w:szCs w:val="22"/>
        </w:rPr>
        <w:t xml:space="preserve"> of decedents fatally overdose</w:t>
      </w:r>
      <w:r w:rsidR="00E84CA1" w:rsidRPr="00F315D4">
        <w:rPr>
          <w:sz w:val="22"/>
          <w:szCs w:val="22"/>
        </w:rPr>
        <w:t>d</w:t>
      </w:r>
      <w:r w:rsidR="009772D8">
        <w:rPr>
          <w:sz w:val="22"/>
          <w:szCs w:val="22"/>
        </w:rPr>
        <w:t xml:space="preserve"> solely</w:t>
      </w:r>
      <w:r w:rsidR="0055107B" w:rsidRPr="00F315D4">
        <w:rPr>
          <w:sz w:val="22"/>
          <w:szCs w:val="22"/>
        </w:rPr>
        <w:t xml:space="preserve"> on an opiate prescribed to themselves. </w:t>
      </w:r>
      <w:r w:rsidR="00D2338D" w:rsidRPr="00F315D4">
        <w:rPr>
          <w:sz w:val="22"/>
          <w:szCs w:val="22"/>
        </w:rPr>
        <w:t>It is likely that some of the unknown prescription types were prescribed to the decedent, but 9 of the 55 decedents who fatally overdose</w:t>
      </w:r>
      <w:r w:rsidR="002900AC" w:rsidRPr="00F315D4">
        <w:rPr>
          <w:sz w:val="22"/>
          <w:szCs w:val="22"/>
        </w:rPr>
        <w:t xml:space="preserve">d </w:t>
      </w:r>
      <w:r w:rsidR="00D2338D" w:rsidRPr="00F315D4">
        <w:rPr>
          <w:sz w:val="22"/>
          <w:szCs w:val="22"/>
        </w:rPr>
        <w:t>on their own prescription also overdosed on an illicit opioid. Assuming a similar percentage of the unknown cases exclusively fatally overdose</w:t>
      </w:r>
      <w:r w:rsidR="002900AC" w:rsidRPr="00F315D4">
        <w:rPr>
          <w:sz w:val="22"/>
          <w:szCs w:val="22"/>
        </w:rPr>
        <w:t>d</w:t>
      </w:r>
      <w:r w:rsidR="00D2338D" w:rsidRPr="00F315D4">
        <w:rPr>
          <w:sz w:val="22"/>
          <w:szCs w:val="22"/>
        </w:rPr>
        <w:t xml:space="preserve"> on their own prescription opioid, 4.96</w:t>
      </w:r>
      <w:r w:rsidR="009E7C2A">
        <w:rPr>
          <w:sz w:val="22"/>
          <w:szCs w:val="22"/>
        </w:rPr>
        <w:t xml:space="preserve"> percent</w:t>
      </w:r>
      <w:r w:rsidR="00D2338D" w:rsidRPr="00F315D4">
        <w:rPr>
          <w:sz w:val="22"/>
          <w:szCs w:val="22"/>
        </w:rPr>
        <w:t xml:space="preserve"> of the sample would have exclusively fatally overdose</w:t>
      </w:r>
      <w:r w:rsidR="002900AC" w:rsidRPr="00F315D4">
        <w:rPr>
          <w:sz w:val="22"/>
          <w:szCs w:val="22"/>
        </w:rPr>
        <w:t>d</w:t>
      </w:r>
      <w:r w:rsidR="00D2338D" w:rsidRPr="00F315D4">
        <w:rPr>
          <w:sz w:val="22"/>
          <w:szCs w:val="22"/>
        </w:rPr>
        <w:t xml:space="preserve"> on their own prescription opioid.</w:t>
      </w:r>
      <w:r w:rsidR="00E84CA1" w:rsidRPr="00F315D4">
        <w:rPr>
          <w:sz w:val="22"/>
          <w:szCs w:val="22"/>
        </w:rPr>
        <w:t xml:space="preserve"> </w:t>
      </w:r>
      <w:r w:rsidR="006308C0" w:rsidRPr="00F315D4">
        <w:rPr>
          <w:sz w:val="22"/>
          <w:szCs w:val="22"/>
        </w:rPr>
        <w:t>The largest percentage</w:t>
      </w:r>
      <w:r w:rsidR="00E15B47" w:rsidRPr="00F315D4">
        <w:rPr>
          <w:sz w:val="22"/>
          <w:szCs w:val="22"/>
        </w:rPr>
        <w:t>, nearly three-quarters of decedents, used illicit non-prescribed opiate drugs other than heroin.</w:t>
      </w:r>
      <w:r w:rsidR="00360063" w:rsidRPr="00F315D4">
        <w:rPr>
          <w:sz w:val="22"/>
          <w:szCs w:val="22"/>
        </w:rPr>
        <w:t xml:space="preserve"> </w:t>
      </w:r>
    </w:p>
    <w:tbl>
      <w:tblPr>
        <w:tblStyle w:val="TableGrid"/>
        <w:tblW w:w="10372" w:type="dxa"/>
        <w:tblLayout w:type="fixed"/>
        <w:tblLook w:val="04A0" w:firstRow="1" w:lastRow="0" w:firstColumn="1" w:lastColumn="0" w:noHBand="0" w:noVBand="1"/>
      </w:tblPr>
      <w:tblGrid>
        <w:gridCol w:w="6235"/>
        <w:gridCol w:w="1325"/>
        <w:gridCol w:w="810"/>
        <w:gridCol w:w="1530"/>
        <w:gridCol w:w="450"/>
        <w:gridCol w:w="22"/>
      </w:tblGrid>
      <w:tr w:rsidR="00B23076" w:rsidRPr="00BC401D" w14:paraId="29169398" w14:textId="77777777" w:rsidTr="00935281">
        <w:trPr>
          <w:trHeight w:val="360"/>
        </w:trPr>
        <w:tc>
          <w:tcPr>
            <w:tcW w:w="10372" w:type="dxa"/>
            <w:gridSpan w:val="6"/>
            <w:tcBorders>
              <w:top w:val="nil"/>
              <w:left w:val="nil"/>
              <w:bottom w:val="single" w:sz="36" w:space="0" w:color="auto"/>
              <w:right w:val="nil"/>
            </w:tcBorders>
          </w:tcPr>
          <w:p w14:paraId="302C2866" w14:textId="77777777" w:rsidR="00B23076" w:rsidRPr="00BC401D" w:rsidRDefault="00B23076" w:rsidP="00935281">
            <w:pPr>
              <w:spacing w:after="120"/>
              <w:rPr>
                <w:b/>
              </w:rPr>
            </w:pPr>
            <w:r w:rsidRPr="00BC401D">
              <w:rPr>
                <w:b/>
              </w:rPr>
              <w:t xml:space="preserve">Table </w:t>
            </w:r>
            <w:r>
              <w:rPr>
                <w:b/>
              </w:rPr>
              <w:t>5</w:t>
            </w:r>
            <w:r w:rsidRPr="00BC401D">
              <w:rPr>
                <w:b/>
              </w:rPr>
              <w:t xml:space="preserve">: </w:t>
            </w:r>
            <w:r>
              <w:rPr>
                <w:b/>
              </w:rPr>
              <w:t>Frequency and percent of decedents Who Fatally Overdosed on an Opiate of Different Prescription Types</w:t>
            </w:r>
          </w:p>
        </w:tc>
      </w:tr>
      <w:tr w:rsidR="00B23076" w:rsidRPr="00D47DDD" w14:paraId="045252E7" w14:textId="77777777" w:rsidTr="00935281">
        <w:trPr>
          <w:trHeight w:val="360"/>
        </w:trPr>
        <w:tc>
          <w:tcPr>
            <w:tcW w:w="6235" w:type="dxa"/>
            <w:tcBorders>
              <w:top w:val="single" w:sz="36" w:space="0" w:color="auto"/>
              <w:left w:val="nil"/>
              <w:bottom w:val="single" w:sz="4" w:space="0" w:color="auto"/>
              <w:right w:val="single" w:sz="4" w:space="0" w:color="auto"/>
            </w:tcBorders>
            <w:vAlign w:val="center"/>
          </w:tcPr>
          <w:p w14:paraId="6228ED15" w14:textId="77777777" w:rsidR="00B23076" w:rsidRPr="0064417A" w:rsidRDefault="00B23076" w:rsidP="00935281">
            <w:pPr>
              <w:spacing w:after="0"/>
              <w:jc w:val="center"/>
              <w:rPr>
                <w:b/>
                <w:i/>
                <w:sz w:val="22"/>
              </w:rPr>
            </w:pPr>
            <w:r>
              <w:rPr>
                <w:b/>
                <w:i/>
                <w:sz w:val="22"/>
              </w:rPr>
              <w:t>Prescription Type</w:t>
            </w:r>
          </w:p>
        </w:tc>
        <w:tc>
          <w:tcPr>
            <w:tcW w:w="2135" w:type="dxa"/>
            <w:gridSpan w:val="2"/>
            <w:tcBorders>
              <w:top w:val="single" w:sz="36" w:space="0" w:color="auto"/>
              <w:left w:val="single" w:sz="4" w:space="0" w:color="auto"/>
              <w:bottom w:val="single" w:sz="4" w:space="0" w:color="auto"/>
              <w:right w:val="nil"/>
            </w:tcBorders>
            <w:vAlign w:val="center"/>
          </w:tcPr>
          <w:p w14:paraId="571C27AD" w14:textId="77777777" w:rsidR="00B23076" w:rsidRPr="00D47DDD" w:rsidRDefault="00B23076" w:rsidP="00935281">
            <w:pPr>
              <w:spacing w:after="0"/>
              <w:jc w:val="center"/>
              <w:rPr>
                <w:rFonts w:eastAsia="Times New Roman"/>
                <w:b/>
                <w:i/>
                <w:sz w:val="22"/>
              </w:rPr>
            </w:pPr>
            <w:r>
              <w:rPr>
                <w:rFonts w:eastAsia="Times New Roman"/>
                <w:b/>
                <w:i/>
                <w:sz w:val="22"/>
              </w:rPr>
              <w:t>Frequency</w:t>
            </w:r>
          </w:p>
        </w:tc>
        <w:tc>
          <w:tcPr>
            <w:tcW w:w="2002" w:type="dxa"/>
            <w:gridSpan w:val="3"/>
            <w:tcBorders>
              <w:top w:val="single" w:sz="36" w:space="0" w:color="auto"/>
              <w:left w:val="nil"/>
              <w:bottom w:val="single" w:sz="4" w:space="0" w:color="auto"/>
              <w:right w:val="nil"/>
            </w:tcBorders>
            <w:vAlign w:val="center"/>
          </w:tcPr>
          <w:p w14:paraId="6E2B0B03" w14:textId="77777777" w:rsidR="00B23076" w:rsidRPr="00D47DDD" w:rsidRDefault="00B23076" w:rsidP="00935281">
            <w:pPr>
              <w:spacing w:after="0"/>
              <w:jc w:val="center"/>
              <w:rPr>
                <w:rFonts w:eastAsia="Times New Roman"/>
                <w:b/>
                <w:i/>
                <w:sz w:val="22"/>
              </w:rPr>
            </w:pPr>
            <w:r>
              <w:rPr>
                <w:rFonts w:eastAsia="Times New Roman"/>
                <w:b/>
                <w:i/>
                <w:sz w:val="22"/>
              </w:rPr>
              <w:t>Percent</w:t>
            </w:r>
          </w:p>
        </w:tc>
      </w:tr>
      <w:tr w:rsidR="00B23076" w:rsidRPr="00D47DDD" w14:paraId="46BDA0ED" w14:textId="77777777" w:rsidTr="00935281">
        <w:trPr>
          <w:gridAfter w:val="1"/>
          <w:wAfter w:w="22" w:type="dxa"/>
          <w:trHeight w:val="288"/>
        </w:trPr>
        <w:tc>
          <w:tcPr>
            <w:tcW w:w="6235" w:type="dxa"/>
            <w:tcBorders>
              <w:top w:val="nil"/>
              <w:left w:val="nil"/>
              <w:bottom w:val="nil"/>
              <w:right w:val="single" w:sz="4" w:space="0" w:color="auto"/>
            </w:tcBorders>
          </w:tcPr>
          <w:p w14:paraId="65430F1B" w14:textId="77777777" w:rsidR="00B23076" w:rsidRPr="006C1F99" w:rsidRDefault="00B23076" w:rsidP="00935281">
            <w:pPr>
              <w:spacing w:after="0"/>
              <w:rPr>
                <w:sz w:val="22"/>
              </w:rPr>
            </w:pPr>
            <w:r>
              <w:rPr>
                <w:sz w:val="22"/>
              </w:rPr>
              <w:t>Non-prescribed drug, other than heroin</w:t>
            </w:r>
          </w:p>
        </w:tc>
        <w:tc>
          <w:tcPr>
            <w:tcW w:w="1325" w:type="dxa"/>
            <w:tcBorders>
              <w:top w:val="nil"/>
              <w:left w:val="single" w:sz="4" w:space="0" w:color="auto"/>
              <w:bottom w:val="nil"/>
              <w:right w:val="nil"/>
            </w:tcBorders>
          </w:tcPr>
          <w:p w14:paraId="58A75892" w14:textId="77777777" w:rsidR="00B23076" w:rsidRPr="00D47DDD" w:rsidRDefault="00B23076" w:rsidP="00935281">
            <w:pPr>
              <w:spacing w:after="0"/>
              <w:jc w:val="right"/>
              <w:rPr>
                <w:rFonts w:eastAsia="Times New Roman"/>
                <w:sz w:val="22"/>
              </w:rPr>
            </w:pPr>
            <w:r>
              <w:rPr>
                <w:rFonts w:eastAsia="Times New Roman"/>
                <w:sz w:val="22"/>
              </w:rPr>
              <w:t>886</w:t>
            </w:r>
          </w:p>
        </w:tc>
        <w:tc>
          <w:tcPr>
            <w:tcW w:w="810" w:type="dxa"/>
            <w:tcBorders>
              <w:top w:val="nil"/>
              <w:left w:val="nil"/>
              <w:bottom w:val="nil"/>
              <w:right w:val="nil"/>
            </w:tcBorders>
          </w:tcPr>
          <w:p w14:paraId="26FDCA1C"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713F4B51" w14:textId="3FAADF61" w:rsidR="00B23076" w:rsidRPr="00D47DDD" w:rsidRDefault="00B23076" w:rsidP="00935281">
            <w:pPr>
              <w:spacing w:after="0"/>
              <w:jc w:val="right"/>
              <w:rPr>
                <w:rFonts w:eastAsia="Times New Roman"/>
                <w:sz w:val="22"/>
              </w:rPr>
            </w:pPr>
            <w:r>
              <w:rPr>
                <w:rFonts w:eastAsia="Times New Roman"/>
                <w:sz w:val="22"/>
              </w:rPr>
              <w:t>72.</w:t>
            </w:r>
            <w:r w:rsidR="00E15B47">
              <w:rPr>
                <w:rFonts w:eastAsia="Times New Roman"/>
                <w:sz w:val="22"/>
              </w:rPr>
              <w:t>39</w:t>
            </w:r>
            <w:r>
              <w:rPr>
                <w:rFonts w:eastAsia="Times New Roman"/>
                <w:sz w:val="22"/>
              </w:rPr>
              <w:t>%</w:t>
            </w:r>
          </w:p>
        </w:tc>
        <w:tc>
          <w:tcPr>
            <w:tcW w:w="450" w:type="dxa"/>
            <w:tcBorders>
              <w:top w:val="nil"/>
              <w:left w:val="nil"/>
              <w:bottom w:val="nil"/>
              <w:right w:val="nil"/>
            </w:tcBorders>
          </w:tcPr>
          <w:p w14:paraId="243956A4" w14:textId="77777777" w:rsidR="00B23076" w:rsidRPr="00D47DDD" w:rsidRDefault="00B23076" w:rsidP="00935281">
            <w:pPr>
              <w:spacing w:after="0"/>
              <w:jc w:val="center"/>
              <w:rPr>
                <w:rFonts w:eastAsia="Times New Roman"/>
                <w:sz w:val="22"/>
              </w:rPr>
            </w:pPr>
          </w:p>
        </w:tc>
      </w:tr>
      <w:tr w:rsidR="00B23076" w:rsidRPr="00D47DDD" w14:paraId="3629F046" w14:textId="77777777" w:rsidTr="00935281">
        <w:trPr>
          <w:gridAfter w:val="1"/>
          <w:wAfter w:w="22" w:type="dxa"/>
          <w:trHeight w:val="288"/>
        </w:trPr>
        <w:tc>
          <w:tcPr>
            <w:tcW w:w="6235" w:type="dxa"/>
            <w:tcBorders>
              <w:top w:val="nil"/>
              <w:left w:val="nil"/>
              <w:bottom w:val="nil"/>
              <w:right w:val="single" w:sz="4" w:space="0" w:color="auto"/>
            </w:tcBorders>
          </w:tcPr>
          <w:p w14:paraId="73D38BA5" w14:textId="77777777" w:rsidR="00B23076" w:rsidRPr="006A7369" w:rsidRDefault="00B23076" w:rsidP="00935281">
            <w:pPr>
              <w:spacing w:after="0"/>
              <w:rPr>
                <w:sz w:val="22"/>
              </w:rPr>
            </w:pPr>
            <w:r>
              <w:rPr>
                <w:sz w:val="22"/>
              </w:rPr>
              <w:t>Heroin</w:t>
            </w:r>
          </w:p>
        </w:tc>
        <w:tc>
          <w:tcPr>
            <w:tcW w:w="1325" w:type="dxa"/>
            <w:tcBorders>
              <w:top w:val="nil"/>
              <w:left w:val="single" w:sz="4" w:space="0" w:color="auto"/>
              <w:bottom w:val="nil"/>
              <w:right w:val="nil"/>
            </w:tcBorders>
          </w:tcPr>
          <w:p w14:paraId="15A13A32" w14:textId="77777777" w:rsidR="00B23076" w:rsidRPr="00D47DDD" w:rsidRDefault="00B23076" w:rsidP="00935281">
            <w:pPr>
              <w:spacing w:after="0"/>
              <w:jc w:val="right"/>
              <w:rPr>
                <w:rFonts w:eastAsia="Times New Roman"/>
                <w:sz w:val="22"/>
              </w:rPr>
            </w:pPr>
            <w:r>
              <w:rPr>
                <w:rFonts w:eastAsia="Times New Roman"/>
                <w:sz w:val="22"/>
              </w:rPr>
              <w:t>266</w:t>
            </w:r>
          </w:p>
        </w:tc>
        <w:tc>
          <w:tcPr>
            <w:tcW w:w="810" w:type="dxa"/>
            <w:tcBorders>
              <w:top w:val="nil"/>
              <w:left w:val="nil"/>
              <w:bottom w:val="nil"/>
              <w:right w:val="nil"/>
            </w:tcBorders>
          </w:tcPr>
          <w:p w14:paraId="65425060"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3C126644" w14:textId="0BA8DEBB" w:rsidR="00B23076" w:rsidRPr="00D47DDD" w:rsidRDefault="00B23076" w:rsidP="00935281">
            <w:pPr>
              <w:spacing w:after="0"/>
              <w:jc w:val="right"/>
              <w:rPr>
                <w:rFonts w:eastAsia="Times New Roman"/>
                <w:sz w:val="22"/>
              </w:rPr>
            </w:pPr>
            <w:r>
              <w:rPr>
                <w:rFonts w:eastAsia="Times New Roman"/>
                <w:sz w:val="22"/>
              </w:rPr>
              <w:t>21.7</w:t>
            </w:r>
            <w:r w:rsidR="00E15B47">
              <w:rPr>
                <w:rFonts w:eastAsia="Times New Roman"/>
                <w:sz w:val="22"/>
              </w:rPr>
              <w:t>3</w:t>
            </w:r>
            <w:r>
              <w:rPr>
                <w:rFonts w:eastAsia="Times New Roman"/>
                <w:sz w:val="22"/>
              </w:rPr>
              <w:t>%</w:t>
            </w:r>
          </w:p>
        </w:tc>
        <w:tc>
          <w:tcPr>
            <w:tcW w:w="450" w:type="dxa"/>
            <w:tcBorders>
              <w:top w:val="nil"/>
              <w:left w:val="nil"/>
              <w:bottom w:val="nil"/>
              <w:right w:val="nil"/>
            </w:tcBorders>
          </w:tcPr>
          <w:p w14:paraId="28EA0E0E" w14:textId="77777777" w:rsidR="00B23076" w:rsidRPr="00D47DDD" w:rsidRDefault="00B23076" w:rsidP="00935281">
            <w:pPr>
              <w:spacing w:after="0"/>
              <w:jc w:val="center"/>
              <w:rPr>
                <w:rFonts w:eastAsia="Times New Roman"/>
                <w:sz w:val="22"/>
              </w:rPr>
            </w:pPr>
          </w:p>
        </w:tc>
      </w:tr>
      <w:tr w:rsidR="00B23076" w:rsidRPr="00D47DDD" w14:paraId="2D1860E1" w14:textId="77777777" w:rsidTr="00935281">
        <w:trPr>
          <w:gridAfter w:val="1"/>
          <w:wAfter w:w="22" w:type="dxa"/>
          <w:trHeight w:val="288"/>
        </w:trPr>
        <w:tc>
          <w:tcPr>
            <w:tcW w:w="6235" w:type="dxa"/>
            <w:tcBorders>
              <w:top w:val="nil"/>
              <w:left w:val="nil"/>
              <w:bottom w:val="nil"/>
              <w:right w:val="single" w:sz="4" w:space="0" w:color="auto"/>
            </w:tcBorders>
          </w:tcPr>
          <w:p w14:paraId="01F38852" w14:textId="77777777" w:rsidR="00B23076" w:rsidRDefault="00B23076" w:rsidP="00935281">
            <w:pPr>
              <w:spacing w:after="0"/>
              <w:rPr>
                <w:sz w:val="22"/>
              </w:rPr>
            </w:pPr>
            <w:r>
              <w:rPr>
                <w:sz w:val="22"/>
              </w:rPr>
              <w:t>Prescribed to decedent</w:t>
            </w:r>
          </w:p>
        </w:tc>
        <w:tc>
          <w:tcPr>
            <w:tcW w:w="1325" w:type="dxa"/>
            <w:tcBorders>
              <w:top w:val="nil"/>
              <w:left w:val="single" w:sz="4" w:space="0" w:color="auto"/>
              <w:bottom w:val="nil"/>
              <w:right w:val="nil"/>
            </w:tcBorders>
          </w:tcPr>
          <w:p w14:paraId="76C171ED" w14:textId="77777777" w:rsidR="00B23076" w:rsidRDefault="00B23076" w:rsidP="00935281">
            <w:pPr>
              <w:spacing w:after="0"/>
              <w:jc w:val="right"/>
              <w:rPr>
                <w:rFonts w:eastAsia="Times New Roman"/>
                <w:sz w:val="22"/>
              </w:rPr>
            </w:pPr>
            <w:r>
              <w:rPr>
                <w:rFonts w:eastAsia="Times New Roman"/>
                <w:sz w:val="22"/>
              </w:rPr>
              <w:t>55</w:t>
            </w:r>
          </w:p>
        </w:tc>
        <w:tc>
          <w:tcPr>
            <w:tcW w:w="810" w:type="dxa"/>
            <w:tcBorders>
              <w:top w:val="nil"/>
              <w:left w:val="nil"/>
              <w:bottom w:val="nil"/>
              <w:right w:val="nil"/>
            </w:tcBorders>
          </w:tcPr>
          <w:p w14:paraId="763C7D85"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09A841CB" w14:textId="631C37BB" w:rsidR="00B23076" w:rsidRDefault="00B23076" w:rsidP="00935281">
            <w:pPr>
              <w:spacing w:after="0"/>
              <w:jc w:val="right"/>
              <w:rPr>
                <w:rFonts w:eastAsia="Times New Roman"/>
                <w:sz w:val="22"/>
              </w:rPr>
            </w:pPr>
            <w:r>
              <w:rPr>
                <w:rFonts w:eastAsia="Times New Roman"/>
                <w:sz w:val="22"/>
              </w:rPr>
              <w:t>4.</w:t>
            </w:r>
            <w:r w:rsidR="00E15B47">
              <w:rPr>
                <w:rFonts w:eastAsia="Times New Roman"/>
                <w:sz w:val="22"/>
              </w:rPr>
              <w:t>49</w:t>
            </w:r>
            <w:r>
              <w:rPr>
                <w:rFonts w:eastAsia="Times New Roman"/>
                <w:sz w:val="22"/>
              </w:rPr>
              <w:t>%</w:t>
            </w:r>
          </w:p>
        </w:tc>
        <w:tc>
          <w:tcPr>
            <w:tcW w:w="450" w:type="dxa"/>
            <w:tcBorders>
              <w:top w:val="nil"/>
              <w:left w:val="nil"/>
              <w:bottom w:val="nil"/>
              <w:right w:val="nil"/>
            </w:tcBorders>
          </w:tcPr>
          <w:p w14:paraId="16F0C092" w14:textId="77777777" w:rsidR="00B23076" w:rsidRPr="00D47DDD" w:rsidRDefault="00B23076" w:rsidP="00935281">
            <w:pPr>
              <w:spacing w:after="0"/>
              <w:jc w:val="center"/>
              <w:rPr>
                <w:rFonts w:eastAsia="Times New Roman"/>
                <w:sz w:val="22"/>
              </w:rPr>
            </w:pPr>
          </w:p>
        </w:tc>
      </w:tr>
      <w:tr w:rsidR="00B23076" w:rsidRPr="00D47DDD" w14:paraId="44D2629F" w14:textId="77777777" w:rsidTr="00935281">
        <w:trPr>
          <w:gridAfter w:val="1"/>
          <w:wAfter w:w="22" w:type="dxa"/>
          <w:trHeight w:val="288"/>
        </w:trPr>
        <w:tc>
          <w:tcPr>
            <w:tcW w:w="6235" w:type="dxa"/>
            <w:tcBorders>
              <w:top w:val="nil"/>
              <w:left w:val="nil"/>
              <w:bottom w:val="nil"/>
              <w:right w:val="single" w:sz="4" w:space="0" w:color="auto"/>
            </w:tcBorders>
          </w:tcPr>
          <w:p w14:paraId="1B49684A" w14:textId="77777777" w:rsidR="00B23076" w:rsidRPr="00713929" w:rsidRDefault="00B23076" w:rsidP="00935281">
            <w:pPr>
              <w:spacing w:after="0"/>
              <w:rPr>
                <w:sz w:val="22"/>
              </w:rPr>
            </w:pPr>
            <w:r>
              <w:rPr>
                <w:sz w:val="22"/>
              </w:rPr>
              <w:t>Intimate Partner</w:t>
            </w:r>
          </w:p>
        </w:tc>
        <w:tc>
          <w:tcPr>
            <w:tcW w:w="1325" w:type="dxa"/>
            <w:tcBorders>
              <w:top w:val="nil"/>
              <w:left w:val="single" w:sz="4" w:space="0" w:color="auto"/>
              <w:bottom w:val="nil"/>
              <w:right w:val="nil"/>
            </w:tcBorders>
          </w:tcPr>
          <w:p w14:paraId="6A329C79" w14:textId="77777777" w:rsidR="00B23076" w:rsidRPr="00D47DDD" w:rsidRDefault="00B23076" w:rsidP="00935281">
            <w:pPr>
              <w:spacing w:after="0"/>
              <w:jc w:val="right"/>
              <w:rPr>
                <w:rFonts w:eastAsia="Times New Roman"/>
                <w:sz w:val="22"/>
              </w:rPr>
            </w:pPr>
            <w:r>
              <w:rPr>
                <w:rFonts w:eastAsia="Times New Roman"/>
                <w:sz w:val="22"/>
              </w:rPr>
              <w:t>3</w:t>
            </w:r>
          </w:p>
        </w:tc>
        <w:tc>
          <w:tcPr>
            <w:tcW w:w="810" w:type="dxa"/>
            <w:tcBorders>
              <w:top w:val="nil"/>
              <w:left w:val="nil"/>
              <w:bottom w:val="nil"/>
              <w:right w:val="nil"/>
            </w:tcBorders>
          </w:tcPr>
          <w:p w14:paraId="32A9B3A3"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335D3A59" w14:textId="77777777" w:rsidR="00B23076" w:rsidRPr="00D47DDD" w:rsidRDefault="00B23076" w:rsidP="00935281">
            <w:pPr>
              <w:spacing w:after="0"/>
              <w:jc w:val="right"/>
              <w:rPr>
                <w:rFonts w:eastAsia="Times New Roman"/>
                <w:sz w:val="22"/>
              </w:rPr>
            </w:pPr>
            <w:r>
              <w:rPr>
                <w:rFonts w:eastAsia="Times New Roman"/>
                <w:sz w:val="22"/>
              </w:rPr>
              <w:t>0.25%</w:t>
            </w:r>
          </w:p>
        </w:tc>
        <w:tc>
          <w:tcPr>
            <w:tcW w:w="450" w:type="dxa"/>
            <w:tcBorders>
              <w:top w:val="nil"/>
              <w:left w:val="nil"/>
              <w:bottom w:val="nil"/>
              <w:right w:val="nil"/>
            </w:tcBorders>
          </w:tcPr>
          <w:p w14:paraId="1A9442C6" w14:textId="77777777" w:rsidR="00B23076" w:rsidRPr="00D47DDD" w:rsidRDefault="00B23076" w:rsidP="00935281">
            <w:pPr>
              <w:spacing w:after="0"/>
              <w:jc w:val="center"/>
              <w:rPr>
                <w:rFonts w:eastAsia="Times New Roman"/>
                <w:sz w:val="22"/>
              </w:rPr>
            </w:pPr>
          </w:p>
        </w:tc>
      </w:tr>
      <w:tr w:rsidR="00B23076" w:rsidRPr="00D47DDD" w14:paraId="43029666" w14:textId="77777777" w:rsidTr="00935281">
        <w:trPr>
          <w:gridAfter w:val="1"/>
          <w:wAfter w:w="22" w:type="dxa"/>
          <w:trHeight w:val="288"/>
        </w:trPr>
        <w:tc>
          <w:tcPr>
            <w:tcW w:w="6235" w:type="dxa"/>
            <w:tcBorders>
              <w:top w:val="nil"/>
              <w:left w:val="nil"/>
              <w:bottom w:val="nil"/>
              <w:right w:val="single" w:sz="4" w:space="0" w:color="auto"/>
            </w:tcBorders>
          </w:tcPr>
          <w:p w14:paraId="561E4C8C" w14:textId="77777777" w:rsidR="00B23076" w:rsidRDefault="00B23076" w:rsidP="00935281">
            <w:pPr>
              <w:spacing w:after="0"/>
              <w:rPr>
                <w:sz w:val="22"/>
              </w:rPr>
            </w:pPr>
            <w:r>
              <w:rPr>
                <w:sz w:val="22"/>
              </w:rPr>
              <w:t>Family (non-intimate partner)</w:t>
            </w:r>
          </w:p>
        </w:tc>
        <w:tc>
          <w:tcPr>
            <w:tcW w:w="1325" w:type="dxa"/>
            <w:tcBorders>
              <w:top w:val="nil"/>
              <w:left w:val="single" w:sz="4" w:space="0" w:color="auto"/>
              <w:bottom w:val="nil"/>
              <w:right w:val="nil"/>
            </w:tcBorders>
          </w:tcPr>
          <w:p w14:paraId="636B6814" w14:textId="77777777" w:rsidR="00B23076" w:rsidRPr="00D47DDD" w:rsidRDefault="00B23076" w:rsidP="00935281">
            <w:pPr>
              <w:spacing w:after="0"/>
              <w:jc w:val="right"/>
              <w:rPr>
                <w:rFonts w:eastAsia="Times New Roman"/>
                <w:sz w:val="22"/>
              </w:rPr>
            </w:pPr>
            <w:r>
              <w:rPr>
                <w:rFonts w:eastAsia="Times New Roman"/>
                <w:sz w:val="22"/>
              </w:rPr>
              <w:t>2</w:t>
            </w:r>
          </w:p>
        </w:tc>
        <w:tc>
          <w:tcPr>
            <w:tcW w:w="810" w:type="dxa"/>
            <w:tcBorders>
              <w:top w:val="nil"/>
              <w:left w:val="nil"/>
              <w:bottom w:val="nil"/>
              <w:right w:val="nil"/>
            </w:tcBorders>
          </w:tcPr>
          <w:p w14:paraId="2A84C393"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424F9EFE" w14:textId="77777777" w:rsidR="00B23076" w:rsidRPr="00D47DDD" w:rsidRDefault="00B23076" w:rsidP="00935281">
            <w:pPr>
              <w:spacing w:after="0"/>
              <w:jc w:val="right"/>
              <w:rPr>
                <w:rFonts w:eastAsia="Times New Roman"/>
                <w:sz w:val="22"/>
              </w:rPr>
            </w:pPr>
            <w:r>
              <w:rPr>
                <w:rFonts w:eastAsia="Times New Roman"/>
                <w:sz w:val="22"/>
              </w:rPr>
              <w:t>0.16%</w:t>
            </w:r>
          </w:p>
        </w:tc>
        <w:tc>
          <w:tcPr>
            <w:tcW w:w="450" w:type="dxa"/>
            <w:tcBorders>
              <w:top w:val="nil"/>
              <w:left w:val="nil"/>
              <w:bottom w:val="nil"/>
              <w:right w:val="nil"/>
            </w:tcBorders>
          </w:tcPr>
          <w:p w14:paraId="03933FC8" w14:textId="77777777" w:rsidR="00B23076" w:rsidRPr="00D47DDD" w:rsidRDefault="00B23076" w:rsidP="00935281">
            <w:pPr>
              <w:spacing w:after="0"/>
              <w:jc w:val="center"/>
              <w:rPr>
                <w:rFonts w:eastAsia="Times New Roman"/>
                <w:sz w:val="22"/>
              </w:rPr>
            </w:pPr>
          </w:p>
        </w:tc>
      </w:tr>
      <w:tr w:rsidR="00B23076" w:rsidRPr="00D47DDD" w14:paraId="62E5718C" w14:textId="77777777" w:rsidTr="00935281">
        <w:trPr>
          <w:gridAfter w:val="1"/>
          <w:wAfter w:w="22" w:type="dxa"/>
          <w:trHeight w:val="288"/>
        </w:trPr>
        <w:tc>
          <w:tcPr>
            <w:tcW w:w="6235" w:type="dxa"/>
            <w:tcBorders>
              <w:top w:val="nil"/>
              <w:left w:val="nil"/>
              <w:bottom w:val="nil"/>
              <w:right w:val="single" w:sz="4" w:space="0" w:color="auto"/>
            </w:tcBorders>
          </w:tcPr>
          <w:p w14:paraId="5550B07A" w14:textId="77777777" w:rsidR="00B23076" w:rsidRDefault="00B23076" w:rsidP="00935281">
            <w:pPr>
              <w:spacing w:after="0"/>
              <w:rPr>
                <w:sz w:val="22"/>
              </w:rPr>
            </w:pPr>
            <w:r>
              <w:rPr>
                <w:sz w:val="22"/>
              </w:rPr>
              <w:t>Other</w:t>
            </w:r>
          </w:p>
        </w:tc>
        <w:tc>
          <w:tcPr>
            <w:tcW w:w="1325" w:type="dxa"/>
            <w:tcBorders>
              <w:top w:val="nil"/>
              <w:left w:val="single" w:sz="4" w:space="0" w:color="auto"/>
              <w:bottom w:val="nil"/>
              <w:right w:val="nil"/>
            </w:tcBorders>
          </w:tcPr>
          <w:p w14:paraId="138F27F7" w14:textId="77777777" w:rsidR="00B23076" w:rsidRDefault="00B23076" w:rsidP="00935281">
            <w:pPr>
              <w:spacing w:after="0"/>
              <w:jc w:val="right"/>
              <w:rPr>
                <w:rFonts w:eastAsia="Times New Roman"/>
                <w:sz w:val="22"/>
              </w:rPr>
            </w:pPr>
            <w:r>
              <w:rPr>
                <w:rFonts w:eastAsia="Times New Roman"/>
                <w:sz w:val="22"/>
              </w:rPr>
              <w:t>8</w:t>
            </w:r>
          </w:p>
        </w:tc>
        <w:tc>
          <w:tcPr>
            <w:tcW w:w="810" w:type="dxa"/>
            <w:tcBorders>
              <w:top w:val="nil"/>
              <w:left w:val="nil"/>
              <w:bottom w:val="nil"/>
              <w:right w:val="nil"/>
            </w:tcBorders>
          </w:tcPr>
          <w:p w14:paraId="75FCFAEE"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05337241" w14:textId="77777777" w:rsidR="00B23076" w:rsidRDefault="00B23076" w:rsidP="00935281">
            <w:pPr>
              <w:spacing w:after="0"/>
              <w:jc w:val="right"/>
              <w:rPr>
                <w:rFonts w:eastAsia="Times New Roman"/>
                <w:sz w:val="22"/>
              </w:rPr>
            </w:pPr>
            <w:r>
              <w:rPr>
                <w:rFonts w:eastAsia="Times New Roman"/>
                <w:sz w:val="22"/>
              </w:rPr>
              <w:t>0.65%</w:t>
            </w:r>
          </w:p>
        </w:tc>
        <w:tc>
          <w:tcPr>
            <w:tcW w:w="450" w:type="dxa"/>
            <w:tcBorders>
              <w:top w:val="nil"/>
              <w:left w:val="nil"/>
              <w:bottom w:val="nil"/>
              <w:right w:val="nil"/>
            </w:tcBorders>
          </w:tcPr>
          <w:p w14:paraId="21B2C968" w14:textId="77777777" w:rsidR="00B23076" w:rsidRPr="00D47DDD" w:rsidRDefault="00B23076" w:rsidP="00935281">
            <w:pPr>
              <w:spacing w:after="0"/>
              <w:jc w:val="center"/>
              <w:rPr>
                <w:rFonts w:eastAsia="Times New Roman"/>
                <w:sz w:val="22"/>
              </w:rPr>
            </w:pPr>
          </w:p>
        </w:tc>
      </w:tr>
      <w:tr w:rsidR="00B23076" w:rsidRPr="00D47DDD" w14:paraId="5744D584" w14:textId="77777777" w:rsidTr="00935281">
        <w:trPr>
          <w:gridAfter w:val="1"/>
          <w:wAfter w:w="22" w:type="dxa"/>
          <w:trHeight w:val="288"/>
        </w:trPr>
        <w:tc>
          <w:tcPr>
            <w:tcW w:w="6235" w:type="dxa"/>
            <w:tcBorders>
              <w:top w:val="nil"/>
              <w:left w:val="nil"/>
              <w:bottom w:val="single" w:sz="4" w:space="0" w:color="auto"/>
              <w:right w:val="single" w:sz="4" w:space="0" w:color="auto"/>
            </w:tcBorders>
          </w:tcPr>
          <w:p w14:paraId="1741EEBD" w14:textId="77777777" w:rsidR="00B23076" w:rsidRDefault="00B23076" w:rsidP="00935281">
            <w:pPr>
              <w:spacing w:after="0"/>
              <w:rPr>
                <w:sz w:val="22"/>
              </w:rPr>
            </w:pPr>
            <w:r>
              <w:rPr>
                <w:sz w:val="22"/>
              </w:rPr>
              <w:t>Unknown</w:t>
            </w:r>
          </w:p>
        </w:tc>
        <w:tc>
          <w:tcPr>
            <w:tcW w:w="1325" w:type="dxa"/>
            <w:tcBorders>
              <w:top w:val="nil"/>
              <w:left w:val="single" w:sz="4" w:space="0" w:color="auto"/>
              <w:bottom w:val="single" w:sz="4" w:space="0" w:color="auto"/>
              <w:right w:val="nil"/>
            </w:tcBorders>
          </w:tcPr>
          <w:p w14:paraId="57708B32" w14:textId="77777777" w:rsidR="00B23076" w:rsidRDefault="00B23076" w:rsidP="00935281">
            <w:pPr>
              <w:spacing w:after="0"/>
              <w:jc w:val="right"/>
              <w:rPr>
                <w:rFonts w:eastAsia="Times New Roman"/>
                <w:sz w:val="22"/>
              </w:rPr>
            </w:pPr>
            <w:r>
              <w:rPr>
                <w:rFonts w:eastAsia="Times New Roman"/>
                <w:sz w:val="22"/>
              </w:rPr>
              <w:t>390</w:t>
            </w:r>
          </w:p>
        </w:tc>
        <w:tc>
          <w:tcPr>
            <w:tcW w:w="810" w:type="dxa"/>
            <w:tcBorders>
              <w:top w:val="nil"/>
              <w:left w:val="nil"/>
              <w:bottom w:val="single" w:sz="4" w:space="0" w:color="auto"/>
              <w:right w:val="nil"/>
            </w:tcBorders>
          </w:tcPr>
          <w:p w14:paraId="1398E265" w14:textId="77777777" w:rsidR="00B23076" w:rsidRPr="00D47DDD" w:rsidRDefault="00B23076" w:rsidP="00935281">
            <w:pPr>
              <w:spacing w:after="0"/>
              <w:jc w:val="center"/>
              <w:rPr>
                <w:rFonts w:eastAsia="Times New Roman"/>
                <w:sz w:val="22"/>
              </w:rPr>
            </w:pPr>
          </w:p>
        </w:tc>
        <w:tc>
          <w:tcPr>
            <w:tcW w:w="1530" w:type="dxa"/>
            <w:tcBorders>
              <w:top w:val="nil"/>
              <w:left w:val="nil"/>
              <w:bottom w:val="single" w:sz="4" w:space="0" w:color="auto"/>
              <w:right w:val="nil"/>
            </w:tcBorders>
          </w:tcPr>
          <w:p w14:paraId="6B31FF60" w14:textId="77777777" w:rsidR="00B23076" w:rsidRDefault="00B23076" w:rsidP="00935281">
            <w:pPr>
              <w:spacing w:after="0"/>
              <w:jc w:val="right"/>
              <w:rPr>
                <w:rFonts w:eastAsia="Times New Roman"/>
                <w:sz w:val="22"/>
              </w:rPr>
            </w:pPr>
            <w:r>
              <w:rPr>
                <w:rFonts w:eastAsia="Times New Roman"/>
                <w:sz w:val="22"/>
              </w:rPr>
              <w:t>31.86%</w:t>
            </w:r>
          </w:p>
        </w:tc>
        <w:tc>
          <w:tcPr>
            <w:tcW w:w="450" w:type="dxa"/>
            <w:tcBorders>
              <w:top w:val="nil"/>
              <w:left w:val="nil"/>
              <w:bottom w:val="single" w:sz="4" w:space="0" w:color="auto"/>
              <w:right w:val="nil"/>
            </w:tcBorders>
          </w:tcPr>
          <w:p w14:paraId="781EF909" w14:textId="77777777" w:rsidR="00B23076" w:rsidRPr="00D47DDD" w:rsidRDefault="00B23076" w:rsidP="00935281">
            <w:pPr>
              <w:spacing w:after="0"/>
              <w:jc w:val="center"/>
              <w:rPr>
                <w:rFonts w:eastAsia="Times New Roman"/>
                <w:sz w:val="22"/>
              </w:rPr>
            </w:pPr>
          </w:p>
        </w:tc>
      </w:tr>
      <w:tr w:rsidR="00B23076" w:rsidRPr="00D47DDD" w14:paraId="49DAA8EA" w14:textId="77777777" w:rsidTr="00935281">
        <w:trPr>
          <w:gridAfter w:val="1"/>
          <w:wAfter w:w="22" w:type="dxa"/>
          <w:trHeight w:val="288"/>
        </w:trPr>
        <w:tc>
          <w:tcPr>
            <w:tcW w:w="9900" w:type="dxa"/>
            <w:gridSpan w:val="4"/>
            <w:tcBorders>
              <w:top w:val="single" w:sz="4" w:space="0" w:color="auto"/>
              <w:left w:val="nil"/>
              <w:bottom w:val="nil"/>
              <w:right w:val="nil"/>
            </w:tcBorders>
          </w:tcPr>
          <w:p w14:paraId="06BFFD8D" w14:textId="77777777" w:rsidR="00B23076" w:rsidRPr="004144CD" w:rsidRDefault="00B23076" w:rsidP="00935281">
            <w:pPr>
              <w:spacing w:after="0"/>
              <w:rPr>
                <w:rFonts w:eastAsia="Times New Roman"/>
                <w:i/>
                <w:sz w:val="18"/>
              </w:rPr>
            </w:pPr>
            <w:r w:rsidRPr="004144CD">
              <w:rPr>
                <w:i/>
                <w:sz w:val="18"/>
              </w:rPr>
              <w:t>*Percentages do not add to 100% because decedents could exhibit one or more of fatal overdose prescription types</w:t>
            </w:r>
          </w:p>
        </w:tc>
        <w:tc>
          <w:tcPr>
            <w:tcW w:w="450" w:type="dxa"/>
            <w:tcBorders>
              <w:top w:val="single" w:sz="4" w:space="0" w:color="auto"/>
              <w:left w:val="nil"/>
              <w:bottom w:val="nil"/>
              <w:right w:val="nil"/>
            </w:tcBorders>
          </w:tcPr>
          <w:p w14:paraId="0E6EC079" w14:textId="77777777" w:rsidR="00B23076" w:rsidRPr="00D47DDD" w:rsidRDefault="00B23076" w:rsidP="00935281">
            <w:pPr>
              <w:spacing w:after="0"/>
              <w:jc w:val="center"/>
              <w:rPr>
                <w:rFonts w:eastAsia="Times New Roman"/>
                <w:sz w:val="22"/>
              </w:rPr>
            </w:pPr>
          </w:p>
        </w:tc>
      </w:tr>
    </w:tbl>
    <w:p w14:paraId="03E3EE65" w14:textId="77777777" w:rsidR="00F315D4" w:rsidRDefault="00F315D4" w:rsidP="00F315D4">
      <w:pPr>
        <w:tabs>
          <w:tab w:val="left" w:pos="720"/>
        </w:tabs>
        <w:spacing w:after="220"/>
        <w:rPr>
          <w:sz w:val="22"/>
          <w:szCs w:val="22"/>
        </w:rPr>
      </w:pPr>
    </w:p>
    <w:p w14:paraId="7445CF1C" w14:textId="62124E60" w:rsidR="003323F7" w:rsidRPr="00F315D4" w:rsidRDefault="00B337D2" w:rsidP="00F315D4">
      <w:pPr>
        <w:tabs>
          <w:tab w:val="left" w:pos="720"/>
        </w:tabs>
        <w:spacing w:after="220"/>
        <w:rPr>
          <w:sz w:val="22"/>
          <w:szCs w:val="22"/>
        </w:rPr>
      </w:pPr>
      <w:r w:rsidRPr="00F315D4">
        <w:rPr>
          <w:sz w:val="22"/>
          <w:szCs w:val="22"/>
        </w:rPr>
        <w:lastRenderedPageBreak/>
        <w:t xml:space="preserve">Polysubstance drug abuse was also frequent among decedents. </w:t>
      </w:r>
      <w:r w:rsidR="00917F5E" w:rsidRPr="00F315D4">
        <w:rPr>
          <w:sz w:val="22"/>
          <w:szCs w:val="22"/>
        </w:rPr>
        <w:t xml:space="preserve">The five most common substances in the decedents </w:t>
      </w:r>
      <w:r w:rsidR="00786E29" w:rsidRPr="00F315D4">
        <w:rPr>
          <w:sz w:val="22"/>
          <w:szCs w:val="22"/>
        </w:rPr>
        <w:t xml:space="preserve">system in addition to opioids at death were alcohol, amphetamines, benzodiazepines, cocaine, and marijuana. In terms of most frequently found, </w:t>
      </w:r>
      <w:r w:rsidR="002D2AD6" w:rsidRPr="00F315D4">
        <w:rPr>
          <w:sz w:val="22"/>
          <w:szCs w:val="22"/>
        </w:rPr>
        <w:t xml:space="preserve">substances such as caffeine and nicotine that are </w:t>
      </w:r>
      <w:r w:rsidR="00EE5257" w:rsidRPr="00F315D4">
        <w:rPr>
          <w:sz w:val="22"/>
          <w:szCs w:val="22"/>
        </w:rPr>
        <w:t>consistently</w:t>
      </w:r>
      <w:r w:rsidR="002D2AD6" w:rsidRPr="00F315D4">
        <w:rPr>
          <w:sz w:val="22"/>
          <w:szCs w:val="22"/>
        </w:rPr>
        <w:t xml:space="preserve"> in a sizable portion of the population’s bodies </w:t>
      </w:r>
      <w:proofErr w:type="gramStart"/>
      <w:r w:rsidR="002D2AD6" w:rsidRPr="00F315D4">
        <w:rPr>
          <w:sz w:val="22"/>
          <w:szCs w:val="22"/>
        </w:rPr>
        <w:t>at</w:t>
      </w:r>
      <w:r w:rsidR="00EE5257" w:rsidRPr="00F315D4">
        <w:rPr>
          <w:sz w:val="22"/>
          <w:szCs w:val="22"/>
        </w:rPr>
        <w:t xml:space="preserve"> all times</w:t>
      </w:r>
      <w:proofErr w:type="gramEnd"/>
      <w:r w:rsidR="00EE5257" w:rsidRPr="00F315D4">
        <w:rPr>
          <w:sz w:val="22"/>
          <w:szCs w:val="22"/>
        </w:rPr>
        <w:t xml:space="preserve"> were ignored. The percentage of decedents with the above substances in their bodies can be found in Table </w:t>
      </w:r>
      <w:r w:rsidR="003323F7" w:rsidRPr="00F315D4">
        <w:rPr>
          <w:sz w:val="22"/>
          <w:szCs w:val="22"/>
        </w:rPr>
        <w:t>6</w:t>
      </w:r>
      <w:r w:rsidR="00EE5257" w:rsidRPr="00F315D4">
        <w:rPr>
          <w:sz w:val="22"/>
          <w:szCs w:val="22"/>
        </w:rPr>
        <w:t>.</w:t>
      </w:r>
      <w:r w:rsidR="003323F7" w:rsidRPr="00F315D4">
        <w:rPr>
          <w:sz w:val="22"/>
          <w:szCs w:val="22"/>
        </w:rPr>
        <w:t xml:space="preserve"> Nearly half of decedents used </w:t>
      </w:r>
      <w:r w:rsidR="009E7C2A">
        <w:rPr>
          <w:sz w:val="22"/>
          <w:szCs w:val="22"/>
        </w:rPr>
        <w:t>c</w:t>
      </w:r>
      <w:r w:rsidR="003323F7" w:rsidRPr="00F315D4">
        <w:rPr>
          <w:sz w:val="22"/>
          <w:szCs w:val="22"/>
        </w:rPr>
        <w:t xml:space="preserve">ocaine and </w:t>
      </w:r>
      <w:r w:rsidR="009E7C2A">
        <w:rPr>
          <w:sz w:val="22"/>
          <w:szCs w:val="22"/>
        </w:rPr>
        <w:t>o</w:t>
      </w:r>
      <w:r w:rsidR="003323F7" w:rsidRPr="00F315D4">
        <w:rPr>
          <w:sz w:val="22"/>
          <w:szCs w:val="22"/>
        </w:rPr>
        <w:t xml:space="preserve">pioids while over a third used </w:t>
      </w:r>
      <w:r w:rsidR="009E7C2A">
        <w:rPr>
          <w:sz w:val="22"/>
          <w:szCs w:val="22"/>
        </w:rPr>
        <w:t>b</w:t>
      </w:r>
      <w:r w:rsidR="003323F7" w:rsidRPr="00F315D4">
        <w:rPr>
          <w:sz w:val="22"/>
          <w:szCs w:val="22"/>
        </w:rPr>
        <w:t xml:space="preserve">enzodiazepines and </w:t>
      </w:r>
      <w:r w:rsidR="009E7C2A">
        <w:rPr>
          <w:sz w:val="22"/>
          <w:szCs w:val="22"/>
        </w:rPr>
        <w:t>o</w:t>
      </w:r>
      <w:r w:rsidR="003323F7" w:rsidRPr="00F315D4">
        <w:rPr>
          <w:sz w:val="22"/>
          <w:szCs w:val="22"/>
        </w:rPr>
        <w:t>pioids at the time of death. Almost a fifth of the sample, 16.93</w:t>
      </w:r>
      <w:r w:rsidR="009E7C2A">
        <w:rPr>
          <w:sz w:val="22"/>
          <w:szCs w:val="22"/>
        </w:rPr>
        <w:t xml:space="preserve"> percent</w:t>
      </w:r>
      <w:r w:rsidR="003323F7" w:rsidRPr="00F315D4">
        <w:rPr>
          <w:sz w:val="22"/>
          <w:szCs w:val="22"/>
        </w:rPr>
        <w:t xml:space="preserve">, used </w:t>
      </w:r>
      <w:r w:rsidR="009E7C2A">
        <w:rPr>
          <w:sz w:val="22"/>
          <w:szCs w:val="22"/>
        </w:rPr>
        <w:t>b</w:t>
      </w:r>
      <w:r w:rsidR="003323F7" w:rsidRPr="00F315D4">
        <w:rPr>
          <w:sz w:val="22"/>
          <w:szCs w:val="22"/>
        </w:rPr>
        <w:t xml:space="preserve">enzodiazepines, </w:t>
      </w:r>
      <w:r w:rsidR="009E7C2A">
        <w:rPr>
          <w:sz w:val="22"/>
          <w:szCs w:val="22"/>
        </w:rPr>
        <w:t>c</w:t>
      </w:r>
      <w:r w:rsidR="003323F7" w:rsidRPr="00F315D4">
        <w:rPr>
          <w:sz w:val="22"/>
          <w:szCs w:val="22"/>
        </w:rPr>
        <w:t xml:space="preserve">ocaine, and </w:t>
      </w:r>
      <w:r w:rsidR="009E7C2A">
        <w:rPr>
          <w:sz w:val="22"/>
          <w:szCs w:val="22"/>
        </w:rPr>
        <w:t>o</w:t>
      </w:r>
      <w:r w:rsidR="003323F7" w:rsidRPr="00F315D4">
        <w:rPr>
          <w:sz w:val="22"/>
          <w:szCs w:val="22"/>
        </w:rPr>
        <w:t>pioids at the same time at death. Most decedents, 82.34</w:t>
      </w:r>
      <w:r w:rsidR="009E7C2A">
        <w:rPr>
          <w:sz w:val="22"/>
          <w:szCs w:val="22"/>
        </w:rPr>
        <w:t xml:space="preserve"> percent</w:t>
      </w:r>
      <w:r w:rsidR="003323F7" w:rsidRPr="00F315D4">
        <w:rPr>
          <w:sz w:val="22"/>
          <w:szCs w:val="22"/>
        </w:rPr>
        <w:t>, had at least one of the above five substances in their body in addition to opioids at the time of death.</w:t>
      </w:r>
    </w:p>
    <w:tbl>
      <w:tblPr>
        <w:tblStyle w:val="TableGrid"/>
        <w:tblW w:w="10372" w:type="dxa"/>
        <w:tblLayout w:type="fixed"/>
        <w:tblLook w:val="04A0" w:firstRow="1" w:lastRow="0" w:firstColumn="1" w:lastColumn="0" w:noHBand="0" w:noVBand="1"/>
      </w:tblPr>
      <w:tblGrid>
        <w:gridCol w:w="3690"/>
        <w:gridCol w:w="2070"/>
        <w:gridCol w:w="1530"/>
        <w:gridCol w:w="506"/>
        <w:gridCol w:w="1564"/>
        <w:gridCol w:w="990"/>
        <w:gridCol w:w="22"/>
      </w:tblGrid>
      <w:tr w:rsidR="004202C6" w:rsidRPr="00BC401D" w14:paraId="7261C939" w14:textId="77777777" w:rsidTr="00A424E5">
        <w:trPr>
          <w:trHeight w:val="360"/>
        </w:trPr>
        <w:tc>
          <w:tcPr>
            <w:tcW w:w="10372" w:type="dxa"/>
            <w:gridSpan w:val="7"/>
            <w:tcBorders>
              <w:top w:val="nil"/>
              <w:left w:val="nil"/>
              <w:bottom w:val="single" w:sz="36" w:space="0" w:color="auto"/>
              <w:right w:val="nil"/>
            </w:tcBorders>
          </w:tcPr>
          <w:p w14:paraId="1E746560" w14:textId="16FC97A4" w:rsidR="004202C6" w:rsidRPr="00BC401D" w:rsidRDefault="004202C6" w:rsidP="009C25B1">
            <w:pPr>
              <w:spacing w:after="120"/>
              <w:rPr>
                <w:b/>
              </w:rPr>
            </w:pPr>
            <w:r w:rsidRPr="00BC401D">
              <w:rPr>
                <w:b/>
              </w:rPr>
              <w:t xml:space="preserve">Table </w:t>
            </w:r>
            <w:r w:rsidR="00A424E5">
              <w:rPr>
                <w:b/>
              </w:rPr>
              <w:t>6</w:t>
            </w:r>
            <w:r w:rsidRPr="00BC401D">
              <w:rPr>
                <w:b/>
              </w:rPr>
              <w:t xml:space="preserve">: </w:t>
            </w:r>
            <w:r w:rsidR="009E2D14">
              <w:rPr>
                <w:b/>
              </w:rPr>
              <w:t>Percentage of Decedents Exhibiting Polysubstance Drug Abuse with Given Substances</w:t>
            </w:r>
          </w:p>
        </w:tc>
      </w:tr>
      <w:tr w:rsidR="004202C6" w:rsidRPr="00D47DDD" w14:paraId="7598B749" w14:textId="77777777" w:rsidTr="00A424E5">
        <w:trPr>
          <w:trHeight w:val="360"/>
        </w:trPr>
        <w:tc>
          <w:tcPr>
            <w:tcW w:w="3690" w:type="dxa"/>
            <w:tcBorders>
              <w:top w:val="single" w:sz="36" w:space="0" w:color="auto"/>
              <w:left w:val="nil"/>
              <w:bottom w:val="single" w:sz="4" w:space="0" w:color="auto"/>
              <w:right w:val="single" w:sz="4" w:space="0" w:color="auto"/>
            </w:tcBorders>
            <w:vAlign w:val="center"/>
          </w:tcPr>
          <w:p w14:paraId="2C717623" w14:textId="536F227C" w:rsidR="004202C6" w:rsidRPr="0064417A" w:rsidRDefault="009E2D14" w:rsidP="009C25B1">
            <w:pPr>
              <w:spacing w:after="0"/>
              <w:jc w:val="center"/>
              <w:rPr>
                <w:b/>
                <w:i/>
                <w:sz w:val="22"/>
              </w:rPr>
            </w:pPr>
            <w:r>
              <w:rPr>
                <w:b/>
                <w:i/>
                <w:sz w:val="22"/>
              </w:rPr>
              <w:t>Substance</w:t>
            </w:r>
            <w:r w:rsidR="004202C6">
              <w:rPr>
                <w:b/>
                <w:i/>
                <w:sz w:val="22"/>
              </w:rPr>
              <w:t xml:space="preserve"> Type</w:t>
            </w:r>
          </w:p>
        </w:tc>
        <w:tc>
          <w:tcPr>
            <w:tcW w:w="3600" w:type="dxa"/>
            <w:gridSpan w:val="2"/>
            <w:tcBorders>
              <w:top w:val="single" w:sz="36" w:space="0" w:color="auto"/>
              <w:left w:val="single" w:sz="4" w:space="0" w:color="auto"/>
              <w:bottom w:val="single" w:sz="4" w:space="0" w:color="auto"/>
              <w:right w:val="nil"/>
            </w:tcBorders>
            <w:vAlign w:val="center"/>
          </w:tcPr>
          <w:p w14:paraId="17CDDBE2" w14:textId="77777777" w:rsidR="004202C6" w:rsidRPr="00D47DDD" w:rsidRDefault="004202C6" w:rsidP="009C25B1">
            <w:pPr>
              <w:spacing w:after="0"/>
              <w:jc w:val="center"/>
              <w:rPr>
                <w:rFonts w:eastAsia="Times New Roman"/>
                <w:b/>
                <w:i/>
                <w:sz w:val="22"/>
              </w:rPr>
            </w:pPr>
            <w:r>
              <w:rPr>
                <w:rFonts w:eastAsia="Times New Roman"/>
                <w:b/>
                <w:i/>
                <w:sz w:val="22"/>
              </w:rPr>
              <w:t>Frequency</w:t>
            </w:r>
          </w:p>
        </w:tc>
        <w:tc>
          <w:tcPr>
            <w:tcW w:w="3082" w:type="dxa"/>
            <w:gridSpan w:val="4"/>
            <w:tcBorders>
              <w:top w:val="single" w:sz="36" w:space="0" w:color="auto"/>
              <w:left w:val="nil"/>
              <w:bottom w:val="single" w:sz="4" w:space="0" w:color="auto"/>
              <w:right w:val="nil"/>
            </w:tcBorders>
            <w:vAlign w:val="center"/>
          </w:tcPr>
          <w:p w14:paraId="4F79254C" w14:textId="77777777" w:rsidR="004202C6" w:rsidRPr="00D47DDD" w:rsidRDefault="004202C6" w:rsidP="009C25B1">
            <w:pPr>
              <w:spacing w:after="0"/>
              <w:jc w:val="center"/>
              <w:rPr>
                <w:rFonts w:eastAsia="Times New Roman"/>
                <w:b/>
                <w:i/>
                <w:sz w:val="22"/>
              </w:rPr>
            </w:pPr>
            <w:r>
              <w:rPr>
                <w:rFonts w:eastAsia="Times New Roman"/>
                <w:b/>
                <w:i/>
                <w:sz w:val="22"/>
              </w:rPr>
              <w:t>Percent</w:t>
            </w:r>
          </w:p>
        </w:tc>
      </w:tr>
      <w:tr w:rsidR="004202C6" w:rsidRPr="00D47DDD" w14:paraId="3A1563FB" w14:textId="77777777" w:rsidTr="009E2D14">
        <w:trPr>
          <w:gridAfter w:val="1"/>
          <w:wAfter w:w="22" w:type="dxa"/>
          <w:trHeight w:val="288"/>
        </w:trPr>
        <w:tc>
          <w:tcPr>
            <w:tcW w:w="3690" w:type="dxa"/>
            <w:tcBorders>
              <w:top w:val="single" w:sz="4" w:space="0" w:color="auto"/>
              <w:left w:val="nil"/>
              <w:bottom w:val="nil"/>
              <w:right w:val="single" w:sz="4" w:space="0" w:color="auto"/>
            </w:tcBorders>
          </w:tcPr>
          <w:p w14:paraId="7EBC742F" w14:textId="3E0EDC5C" w:rsidR="004202C6" w:rsidRPr="00713929" w:rsidRDefault="009E2D14" w:rsidP="009C25B1">
            <w:pPr>
              <w:spacing w:after="0"/>
              <w:rPr>
                <w:sz w:val="22"/>
              </w:rPr>
            </w:pPr>
            <w:r>
              <w:rPr>
                <w:sz w:val="22"/>
              </w:rPr>
              <w:t>Alcohol</w:t>
            </w:r>
          </w:p>
        </w:tc>
        <w:tc>
          <w:tcPr>
            <w:tcW w:w="2070" w:type="dxa"/>
            <w:tcBorders>
              <w:top w:val="single" w:sz="4" w:space="0" w:color="auto"/>
              <w:left w:val="single" w:sz="4" w:space="0" w:color="auto"/>
              <w:bottom w:val="nil"/>
              <w:right w:val="nil"/>
            </w:tcBorders>
          </w:tcPr>
          <w:p w14:paraId="1EC23B44" w14:textId="68D3DF5D" w:rsidR="004202C6" w:rsidRPr="00D47DDD" w:rsidRDefault="00525643" w:rsidP="009C25B1">
            <w:pPr>
              <w:spacing w:after="0"/>
              <w:jc w:val="right"/>
              <w:rPr>
                <w:rFonts w:eastAsia="Times New Roman"/>
                <w:sz w:val="22"/>
              </w:rPr>
            </w:pPr>
            <w:r>
              <w:rPr>
                <w:rFonts w:eastAsia="Times New Roman"/>
                <w:sz w:val="22"/>
              </w:rPr>
              <w:t>315</w:t>
            </w:r>
          </w:p>
        </w:tc>
        <w:tc>
          <w:tcPr>
            <w:tcW w:w="2036" w:type="dxa"/>
            <w:gridSpan w:val="2"/>
            <w:tcBorders>
              <w:top w:val="single" w:sz="4" w:space="0" w:color="auto"/>
              <w:left w:val="nil"/>
              <w:bottom w:val="nil"/>
              <w:right w:val="nil"/>
            </w:tcBorders>
          </w:tcPr>
          <w:p w14:paraId="1C6873DA" w14:textId="77777777" w:rsidR="004202C6" w:rsidRPr="00D47DDD" w:rsidRDefault="004202C6" w:rsidP="009C25B1">
            <w:pPr>
              <w:spacing w:after="0"/>
              <w:rPr>
                <w:rFonts w:eastAsia="Times New Roman"/>
                <w:sz w:val="22"/>
              </w:rPr>
            </w:pPr>
          </w:p>
        </w:tc>
        <w:tc>
          <w:tcPr>
            <w:tcW w:w="1564" w:type="dxa"/>
            <w:tcBorders>
              <w:top w:val="nil"/>
              <w:left w:val="nil"/>
              <w:bottom w:val="nil"/>
              <w:right w:val="nil"/>
            </w:tcBorders>
          </w:tcPr>
          <w:p w14:paraId="6E3124FF" w14:textId="4317CD9E" w:rsidR="004202C6" w:rsidRPr="00D47DDD" w:rsidRDefault="009E2D14" w:rsidP="009C25B1">
            <w:pPr>
              <w:spacing w:after="0"/>
              <w:jc w:val="right"/>
              <w:rPr>
                <w:rFonts w:eastAsia="Times New Roman"/>
                <w:sz w:val="22"/>
              </w:rPr>
            </w:pPr>
            <w:r>
              <w:rPr>
                <w:rFonts w:eastAsia="Times New Roman"/>
                <w:sz w:val="22"/>
              </w:rPr>
              <w:t>25</w:t>
            </w:r>
            <w:r w:rsidR="004202C6">
              <w:rPr>
                <w:rFonts w:eastAsia="Times New Roman"/>
                <w:sz w:val="22"/>
              </w:rPr>
              <w:t>.</w:t>
            </w:r>
            <w:r>
              <w:rPr>
                <w:rFonts w:eastAsia="Times New Roman"/>
                <w:sz w:val="22"/>
              </w:rPr>
              <w:t>76</w:t>
            </w:r>
            <w:r w:rsidR="004202C6">
              <w:rPr>
                <w:rFonts w:eastAsia="Times New Roman"/>
                <w:sz w:val="22"/>
              </w:rPr>
              <w:t>%</w:t>
            </w:r>
          </w:p>
        </w:tc>
        <w:tc>
          <w:tcPr>
            <w:tcW w:w="990" w:type="dxa"/>
            <w:tcBorders>
              <w:top w:val="nil"/>
              <w:left w:val="nil"/>
              <w:bottom w:val="nil"/>
              <w:right w:val="nil"/>
            </w:tcBorders>
          </w:tcPr>
          <w:p w14:paraId="6E652A51" w14:textId="77777777" w:rsidR="004202C6" w:rsidRPr="00D47DDD" w:rsidRDefault="004202C6" w:rsidP="009C25B1">
            <w:pPr>
              <w:spacing w:after="0"/>
              <w:rPr>
                <w:rFonts w:eastAsia="Times New Roman"/>
                <w:sz w:val="22"/>
              </w:rPr>
            </w:pPr>
          </w:p>
        </w:tc>
      </w:tr>
      <w:tr w:rsidR="004202C6" w:rsidRPr="00D47DDD" w14:paraId="07BF847B" w14:textId="77777777" w:rsidTr="009E2D14">
        <w:trPr>
          <w:gridAfter w:val="1"/>
          <w:wAfter w:w="22" w:type="dxa"/>
          <w:trHeight w:val="288"/>
        </w:trPr>
        <w:tc>
          <w:tcPr>
            <w:tcW w:w="3690" w:type="dxa"/>
            <w:tcBorders>
              <w:top w:val="nil"/>
              <w:left w:val="nil"/>
              <w:bottom w:val="nil"/>
              <w:right w:val="single" w:sz="4" w:space="0" w:color="auto"/>
            </w:tcBorders>
          </w:tcPr>
          <w:p w14:paraId="61A96614" w14:textId="0EA08C3F" w:rsidR="004202C6" w:rsidRPr="006C1F99" w:rsidRDefault="009E2D14" w:rsidP="009C25B1">
            <w:pPr>
              <w:spacing w:after="0"/>
              <w:rPr>
                <w:sz w:val="22"/>
              </w:rPr>
            </w:pPr>
            <w:r>
              <w:rPr>
                <w:sz w:val="22"/>
              </w:rPr>
              <w:t>Amphetamines</w:t>
            </w:r>
          </w:p>
        </w:tc>
        <w:tc>
          <w:tcPr>
            <w:tcW w:w="2070" w:type="dxa"/>
            <w:tcBorders>
              <w:top w:val="nil"/>
              <w:left w:val="single" w:sz="4" w:space="0" w:color="auto"/>
              <w:bottom w:val="nil"/>
              <w:right w:val="nil"/>
            </w:tcBorders>
          </w:tcPr>
          <w:p w14:paraId="3ABDFB90" w14:textId="25685B3D" w:rsidR="004202C6" w:rsidRPr="00D47DDD" w:rsidRDefault="00525643" w:rsidP="009C25B1">
            <w:pPr>
              <w:spacing w:after="0"/>
              <w:jc w:val="right"/>
              <w:rPr>
                <w:rFonts w:eastAsia="Times New Roman"/>
                <w:sz w:val="22"/>
              </w:rPr>
            </w:pPr>
            <w:r>
              <w:rPr>
                <w:rFonts w:eastAsia="Times New Roman"/>
                <w:sz w:val="22"/>
              </w:rPr>
              <w:t>173</w:t>
            </w:r>
          </w:p>
        </w:tc>
        <w:tc>
          <w:tcPr>
            <w:tcW w:w="2036" w:type="dxa"/>
            <w:gridSpan w:val="2"/>
            <w:tcBorders>
              <w:top w:val="nil"/>
              <w:left w:val="nil"/>
              <w:bottom w:val="nil"/>
              <w:right w:val="nil"/>
            </w:tcBorders>
          </w:tcPr>
          <w:p w14:paraId="2568852D" w14:textId="77777777" w:rsidR="004202C6" w:rsidRPr="00D47DDD" w:rsidRDefault="004202C6" w:rsidP="009C25B1">
            <w:pPr>
              <w:spacing w:after="0"/>
              <w:jc w:val="center"/>
              <w:rPr>
                <w:rFonts w:eastAsia="Times New Roman"/>
                <w:sz w:val="22"/>
              </w:rPr>
            </w:pPr>
          </w:p>
        </w:tc>
        <w:tc>
          <w:tcPr>
            <w:tcW w:w="1564" w:type="dxa"/>
            <w:tcBorders>
              <w:top w:val="nil"/>
              <w:left w:val="nil"/>
              <w:bottom w:val="nil"/>
              <w:right w:val="nil"/>
            </w:tcBorders>
          </w:tcPr>
          <w:p w14:paraId="35C9DC3A" w14:textId="7EBA7DAE" w:rsidR="004202C6" w:rsidRPr="00D47DDD" w:rsidRDefault="009E2D14" w:rsidP="009C25B1">
            <w:pPr>
              <w:spacing w:after="0"/>
              <w:jc w:val="right"/>
              <w:rPr>
                <w:rFonts w:eastAsia="Times New Roman"/>
                <w:sz w:val="22"/>
              </w:rPr>
            </w:pPr>
            <w:r>
              <w:rPr>
                <w:rFonts w:eastAsia="Times New Roman"/>
                <w:sz w:val="22"/>
              </w:rPr>
              <w:t>14</w:t>
            </w:r>
            <w:r w:rsidR="004202C6">
              <w:rPr>
                <w:rFonts w:eastAsia="Times New Roman"/>
                <w:sz w:val="22"/>
              </w:rPr>
              <w:t>.</w:t>
            </w:r>
            <w:r>
              <w:rPr>
                <w:rFonts w:eastAsia="Times New Roman"/>
                <w:sz w:val="22"/>
              </w:rPr>
              <w:t>15</w:t>
            </w:r>
            <w:r w:rsidR="004202C6">
              <w:rPr>
                <w:rFonts w:eastAsia="Times New Roman"/>
                <w:sz w:val="22"/>
              </w:rPr>
              <w:t>%</w:t>
            </w:r>
          </w:p>
        </w:tc>
        <w:tc>
          <w:tcPr>
            <w:tcW w:w="990" w:type="dxa"/>
            <w:tcBorders>
              <w:top w:val="nil"/>
              <w:left w:val="nil"/>
              <w:bottom w:val="nil"/>
              <w:right w:val="nil"/>
            </w:tcBorders>
          </w:tcPr>
          <w:p w14:paraId="1C125E7C" w14:textId="77777777" w:rsidR="004202C6" w:rsidRPr="00D47DDD" w:rsidRDefault="004202C6" w:rsidP="009C25B1">
            <w:pPr>
              <w:spacing w:after="0"/>
              <w:jc w:val="center"/>
              <w:rPr>
                <w:rFonts w:eastAsia="Times New Roman"/>
                <w:sz w:val="22"/>
              </w:rPr>
            </w:pPr>
          </w:p>
        </w:tc>
      </w:tr>
      <w:tr w:rsidR="004202C6" w:rsidRPr="00D47DDD" w14:paraId="09AFA097" w14:textId="77777777" w:rsidTr="009E2D14">
        <w:trPr>
          <w:gridAfter w:val="1"/>
          <w:wAfter w:w="22" w:type="dxa"/>
          <w:trHeight w:val="288"/>
        </w:trPr>
        <w:tc>
          <w:tcPr>
            <w:tcW w:w="3690" w:type="dxa"/>
            <w:tcBorders>
              <w:top w:val="nil"/>
              <w:left w:val="nil"/>
              <w:bottom w:val="nil"/>
              <w:right w:val="single" w:sz="4" w:space="0" w:color="auto"/>
            </w:tcBorders>
          </w:tcPr>
          <w:p w14:paraId="594A1675" w14:textId="643509BA" w:rsidR="004202C6" w:rsidRPr="006A7369" w:rsidRDefault="009E2D14" w:rsidP="009C25B1">
            <w:pPr>
              <w:spacing w:after="0"/>
              <w:rPr>
                <w:sz w:val="22"/>
              </w:rPr>
            </w:pPr>
            <w:r>
              <w:rPr>
                <w:sz w:val="22"/>
              </w:rPr>
              <w:t>Benzodiazepines</w:t>
            </w:r>
          </w:p>
        </w:tc>
        <w:tc>
          <w:tcPr>
            <w:tcW w:w="2070" w:type="dxa"/>
            <w:tcBorders>
              <w:top w:val="nil"/>
              <w:left w:val="single" w:sz="4" w:space="0" w:color="auto"/>
              <w:bottom w:val="nil"/>
              <w:right w:val="nil"/>
            </w:tcBorders>
          </w:tcPr>
          <w:p w14:paraId="0A4C740D" w14:textId="69B0CE5C" w:rsidR="004202C6" w:rsidRPr="00D47DDD" w:rsidRDefault="00525643" w:rsidP="009C25B1">
            <w:pPr>
              <w:spacing w:after="0"/>
              <w:jc w:val="right"/>
              <w:rPr>
                <w:rFonts w:eastAsia="Times New Roman"/>
                <w:sz w:val="22"/>
              </w:rPr>
            </w:pPr>
            <w:r>
              <w:rPr>
                <w:rFonts w:eastAsia="Times New Roman"/>
                <w:sz w:val="22"/>
              </w:rPr>
              <w:t>448</w:t>
            </w:r>
          </w:p>
        </w:tc>
        <w:tc>
          <w:tcPr>
            <w:tcW w:w="2036" w:type="dxa"/>
            <w:gridSpan w:val="2"/>
            <w:tcBorders>
              <w:top w:val="nil"/>
              <w:left w:val="nil"/>
              <w:bottom w:val="nil"/>
              <w:right w:val="nil"/>
            </w:tcBorders>
          </w:tcPr>
          <w:p w14:paraId="320CDFA1" w14:textId="77777777" w:rsidR="004202C6" w:rsidRPr="00D47DDD" w:rsidRDefault="004202C6" w:rsidP="009C25B1">
            <w:pPr>
              <w:spacing w:after="0"/>
              <w:jc w:val="center"/>
              <w:rPr>
                <w:rFonts w:eastAsia="Times New Roman"/>
                <w:sz w:val="22"/>
              </w:rPr>
            </w:pPr>
          </w:p>
        </w:tc>
        <w:tc>
          <w:tcPr>
            <w:tcW w:w="1564" w:type="dxa"/>
            <w:tcBorders>
              <w:top w:val="nil"/>
              <w:left w:val="nil"/>
              <w:bottom w:val="nil"/>
              <w:right w:val="nil"/>
            </w:tcBorders>
          </w:tcPr>
          <w:p w14:paraId="32EBF337" w14:textId="3E9EE7A2" w:rsidR="004202C6" w:rsidRPr="00D47DDD" w:rsidRDefault="009E2D14" w:rsidP="009C25B1">
            <w:pPr>
              <w:spacing w:after="0"/>
              <w:jc w:val="right"/>
              <w:rPr>
                <w:rFonts w:eastAsia="Times New Roman"/>
                <w:sz w:val="22"/>
              </w:rPr>
            </w:pPr>
            <w:r>
              <w:rPr>
                <w:rFonts w:eastAsia="Times New Roman"/>
                <w:sz w:val="22"/>
              </w:rPr>
              <w:t>36</w:t>
            </w:r>
            <w:r w:rsidR="004202C6">
              <w:rPr>
                <w:rFonts w:eastAsia="Times New Roman"/>
                <w:sz w:val="22"/>
              </w:rPr>
              <w:t>.</w:t>
            </w:r>
            <w:r>
              <w:rPr>
                <w:rFonts w:eastAsia="Times New Roman"/>
                <w:sz w:val="22"/>
              </w:rPr>
              <w:t>63</w:t>
            </w:r>
            <w:r w:rsidR="004202C6">
              <w:rPr>
                <w:rFonts w:eastAsia="Times New Roman"/>
                <w:sz w:val="22"/>
              </w:rPr>
              <w:t>%</w:t>
            </w:r>
          </w:p>
        </w:tc>
        <w:tc>
          <w:tcPr>
            <w:tcW w:w="990" w:type="dxa"/>
            <w:tcBorders>
              <w:top w:val="nil"/>
              <w:left w:val="nil"/>
              <w:bottom w:val="nil"/>
              <w:right w:val="nil"/>
            </w:tcBorders>
          </w:tcPr>
          <w:p w14:paraId="20DE42A6" w14:textId="77777777" w:rsidR="004202C6" w:rsidRPr="00D47DDD" w:rsidRDefault="004202C6" w:rsidP="009C25B1">
            <w:pPr>
              <w:spacing w:after="0"/>
              <w:jc w:val="center"/>
              <w:rPr>
                <w:rFonts w:eastAsia="Times New Roman"/>
                <w:sz w:val="22"/>
              </w:rPr>
            </w:pPr>
          </w:p>
        </w:tc>
      </w:tr>
      <w:tr w:rsidR="004202C6" w:rsidRPr="00D47DDD" w14:paraId="776AC78B" w14:textId="77777777" w:rsidTr="009E2D14">
        <w:trPr>
          <w:gridAfter w:val="1"/>
          <w:wAfter w:w="22" w:type="dxa"/>
          <w:trHeight w:val="288"/>
        </w:trPr>
        <w:tc>
          <w:tcPr>
            <w:tcW w:w="3690" w:type="dxa"/>
            <w:tcBorders>
              <w:top w:val="nil"/>
              <w:left w:val="nil"/>
              <w:bottom w:val="nil"/>
              <w:right w:val="single" w:sz="4" w:space="0" w:color="auto"/>
            </w:tcBorders>
          </w:tcPr>
          <w:p w14:paraId="31B082DE" w14:textId="3B519D0D" w:rsidR="004202C6" w:rsidRPr="00713929" w:rsidRDefault="009E2D14" w:rsidP="009C25B1">
            <w:pPr>
              <w:spacing w:after="0"/>
              <w:rPr>
                <w:sz w:val="22"/>
              </w:rPr>
            </w:pPr>
            <w:r>
              <w:rPr>
                <w:sz w:val="22"/>
              </w:rPr>
              <w:t>Cocaine</w:t>
            </w:r>
          </w:p>
        </w:tc>
        <w:tc>
          <w:tcPr>
            <w:tcW w:w="2070" w:type="dxa"/>
            <w:tcBorders>
              <w:top w:val="nil"/>
              <w:left w:val="single" w:sz="4" w:space="0" w:color="auto"/>
              <w:bottom w:val="nil"/>
              <w:right w:val="nil"/>
            </w:tcBorders>
          </w:tcPr>
          <w:p w14:paraId="5B995976" w14:textId="5F08E77A" w:rsidR="004202C6" w:rsidRPr="00D47DDD" w:rsidRDefault="00525643" w:rsidP="009C25B1">
            <w:pPr>
              <w:spacing w:after="0"/>
              <w:jc w:val="right"/>
              <w:rPr>
                <w:rFonts w:eastAsia="Times New Roman"/>
                <w:sz w:val="22"/>
              </w:rPr>
            </w:pPr>
            <w:r>
              <w:rPr>
                <w:rFonts w:eastAsia="Times New Roman"/>
                <w:sz w:val="22"/>
              </w:rPr>
              <w:t>544</w:t>
            </w:r>
          </w:p>
        </w:tc>
        <w:tc>
          <w:tcPr>
            <w:tcW w:w="2036" w:type="dxa"/>
            <w:gridSpan w:val="2"/>
            <w:tcBorders>
              <w:top w:val="nil"/>
              <w:left w:val="nil"/>
              <w:bottom w:val="nil"/>
              <w:right w:val="nil"/>
            </w:tcBorders>
          </w:tcPr>
          <w:p w14:paraId="2509E367" w14:textId="77777777" w:rsidR="004202C6" w:rsidRPr="00D47DDD" w:rsidRDefault="004202C6" w:rsidP="009C25B1">
            <w:pPr>
              <w:spacing w:after="0"/>
              <w:jc w:val="center"/>
              <w:rPr>
                <w:rFonts w:eastAsia="Times New Roman"/>
                <w:sz w:val="22"/>
              </w:rPr>
            </w:pPr>
          </w:p>
        </w:tc>
        <w:tc>
          <w:tcPr>
            <w:tcW w:w="1564" w:type="dxa"/>
            <w:tcBorders>
              <w:top w:val="nil"/>
              <w:left w:val="nil"/>
              <w:bottom w:val="nil"/>
              <w:right w:val="nil"/>
            </w:tcBorders>
          </w:tcPr>
          <w:p w14:paraId="0765B09A" w14:textId="28BB044D" w:rsidR="004202C6" w:rsidRPr="00D47DDD" w:rsidRDefault="009E2D14" w:rsidP="009C25B1">
            <w:pPr>
              <w:spacing w:after="0"/>
              <w:jc w:val="right"/>
              <w:rPr>
                <w:rFonts w:eastAsia="Times New Roman"/>
                <w:sz w:val="22"/>
              </w:rPr>
            </w:pPr>
            <w:r>
              <w:rPr>
                <w:rFonts w:eastAsia="Times New Roman"/>
                <w:sz w:val="22"/>
              </w:rPr>
              <w:t>44</w:t>
            </w:r>
            <w:r w:rsidR="004202C6">
              <w:rPr>
                <w:rFonts w:eastAsia="Times New Roman"/>
                <w:sz w:val="22"/>
              </w:rPr>
              <w:t>.</w:t>
            </w:r>
            <w:r>
              <w:rPr>
                <w:rFonts w:eastAsia="Times New Roman"/>
                <w:sz w:val="22"/>
              </w:rPr>
              <w:t>48</w:t>
            </w:r>
            <w:r w:rsidR="004202C6">
              <w:rPr>
                <w:rFonts w:eastAsia="Times New Roman"/>
                <w:sz w:val="22"/>
              </w:rPr>
              <w:t>%</w:t>
            </w:r>
          </w:p>
        </w:tc>
        <w:tc>
          <w:tcPr>
            <w:tcW w:w="990" w:type="dxa"/>
            <w:tcBorders>
              <w:top w:val="nil"/>
              <w:left w:val="nil"/>
              <w:bottom w:val="nil"/>
              <w:right w:val="nil"/>
            </w:tcBorders>
          </w:tcPr>
          <w:p w14:paraId="6334B0AD" w14:textId="77777777" w:rsidR="004202C6" w:rsidRPr="00D47DDD" w:rsidRDefault="004202C6" w:rsidP="009C25B1">
            <w:pPr>
              <w:spacing w:after="0"/>
              <w:jc w:val="center"/>
              <w:rPr>
                <w:rFonts w:eastAsia="Times New Roman"/>
                <w:sz w:val="22"/>
              </w:rPr>
            </w:pPr>
          </w:p>
        </w:tc>
      </w:tr>
      <w:tr w:rsidR="004202C6" w:rsidRPr="00D47DDD" w14:paraId="66FB998E" w14:textId="77777777" w:rsidTr="009E2D14">
        <w:trPr>
          <w:gridAfter w:val="1"/>
          <w:wAfter w:w="22" w:type="dxa"/>
          <w:trHeight w:val="288"/>
        </w:trPr>
        <w:tc>
          <w:tcPr>
            <w:tcW w:w="3690" w:type="dxa"/>
            <w:tcBorders>
              <w:top w:val="nil"/>
              <w:left w:val="nil"/>
              <w:bottom w:val="single" w:sz="4" w:space="0" w:color="auto"/>
              <w:right w:val="single" w:sz="4" w:space="0" w:color="auto"/>
            </w:tcBorders>
          </w:tcPr>
          <w:p w14:paraId="56761283" w14:textId="18CA5960" w:rsidR="004202C6" w:rsidRDefault="009E2D14" w:rsidP="009C25B1">
            <w:pPr>
              <w:spacing w:after="0"/>
              <w:rPr>
                <w:sz w:val="22"/>
              </w:rPr>
            </w:pPr>
            <w:r>
              <w:rPr>
                <w:sz w:val="22"/>
              </w:rPr>
              <w:t>Marijuana</w:t>
            </w:r>
          </w:p>
        </w:tc>
        <w:tc>
          <w:tcPr>
            <w:tcW w:w="2070" w:type="dxa"/>
            <w:tcBorders>
              <w:top w:val="nil"/>
              <w:left w:val="single" w:sz="4" w:space="0" w:color="auto"/>
              <w:bottom w:val="single" w:sz="4" w:space="0" w:color="auto"/>
              <w:right w:val="nil"/>
            </w:tcBorders>
          </w:tcPr>
          <w:p w14:paraId="0AB0FE8A" w14:textId="4E162F6D" w:rsidR="004202C6" w:rsidRPr="00D47DDD" w:rsidRDefault="00525643" w:rsidP="009C25B1">
            <w:pPr>
              <w:spacing w:after="0"/>
              <w:jc w:val="right"/>
              <w:rPr>
                <w:rFonts w:eastAsia="Times New Roman"/>
                <w:sz w:val="22"/>
              </w:rPr>
            </w:pPr>
            <w:r>
              <w:rPr>
                <w:rFonts w:eastAsia="Times New Roman"/>
                <w:sz w:val="22"/>
              </w:rPr>
              <w:t>193</w:t>
            </w:r>
          </w:p>
        </w:tc>
        <w:tc>
          <w:tcPr>
            <w:tcW w:w="2036" w:type="dxa"/>
            <w:gridSpan w:val="2"/>
            <w:tcBorders>
              <w:top w:val="nil"/>
              <w:left w:val="nil"/>
              <w:bottom w:val="single" w:sz="4" w:space="0" w:color="auto"/>
              <w:right w:val="nil"/>
            </w:tcBorders>
          </w:tcPr>
          <w:p w14:paraId="4321AA88" w14:textId="77777777" w:rsidR="004202C6" w:rsidRPr="00D47DDD" w:rsidRDefault="004202C6" w:rsidP="009C25B1">
            <w:pPr>
              <w:spacing w:after="0"/>
              <w:jc w:val="center"/>
              <w:rPr>
                <w:rFonts w:eastAsia="Times New Roman"/>
                <w:sz w:val="22"/>
              </w:rPr>
            </w:pPr>
          </w:p>
        </w:tc>
        <w:tc>
          <w:tcPr>
            <w:tcW w:w="1564" w:type="dxa"/>
            <w:tcBorders>
              <w:top w:val="nil"/>
              <w:left w:val="nil"/>
              <w:bottom w:val="single" w:sz="4" w:space="0" w:color="auto"/>
              <w:right w:val="nil"/>
            </w:tcBorders>
          </w:tcPr>
          <w:p w14:paraId="7D97F84C" w14:textId="6CBAC274" w:rsidR="004202C6" w:rsidRPr="00D47DDD" w:rsidRDefault="009E2D14" w:rsidP="009C25B1">
            <w:pPr>
              <w:spacing w:after="0"/>
              <w:jc w:val="right"/>
              <w:rPr>
                <w:rFonts w:eastAsia="Times New Roman"/>
                <w:sz w:val="22"/>
              </w:rPr>
            </w:pPr>
            <w:r>
              <w:rPr>
                <w:rFonts w:eastAsia="Times New Roman"/>
                <w:sz w:val="22"/>
              </w:rPr>
              <w:t>15</w:t>
            </w:r>
            <w:r w:rsidR="004202C6">
              <w:rPr>
                <w:rFonts w:eastAsia="Times New Roman"/>
                <w:sz w:val="22"/>
              </w:rPr>
              <w:t>.</w:t>
            </w:r>
            <w:r>
              <w:rPr>
                <w:rFonts w:eastAsia="Times New Roman"/>
                <w:sz w:val="22"/>
              </w:rPr>
              <w:t>78</w:t>
            </w:r>
            <w:r w:rsidR="004202C6">
              <w:rPr>
                <w:rFonts w:eastAsia="Times New Roman"/>
                <w:sz w:val="22"/>
              </w:rPr>
              <w:t>%</w:t>
            </w:r>
          </w:p>
        </w:tc>
        <w:tc>
          <w:tcPr>
            <w:tcW w:w="990" w:type="dxa"/>
            <w:tcBorders>
              <w:top w:val="nil"/>
              <w:left w:val="nil"/>
              <w:bottom w:val="single" w:sz="4" w:space="0" w:color="auto"/>
              <w:right w:val="nil"/>
            </w:tcBorders>
          </w:tcPr>
          <w:p w14:paraId="4A1D7418" w14:textId="77777777" w:rsidR="004202C6" w:rsidRPr="00D47DDD" w:rsidRDefault="004202C6" w:rsidP="009C25B1">
            <w:pPr>
              <w:spacing w:after="0"/>
              <w:jc w:val="center"/>
              <w:rPr>
                <w:rFonts w:eastAsia="Times New Roman"/>
                <w:sz w:val="22"/>
              </w:rPr>
            </w:pPr>
          </w:p>
        </w:tc>
      </w:tr>
    </w:tbl>
    <w:p w14:paraId="0BA90441" w14:textId="0099C5AE" w:rsidR="00B337D2" w:rsidRDefault="00C90603" w:rsidP="003323F7">
      <w:pPr>
        <w:tabs>
          <w:tab w:val="left" w:pos="720"/>
        </w:tabs>
        <w:spacing w:after="120"/>
      </w:pPr>
      <w:r>
        <w:tab/>
      </w:r>
    </w:p>
    <w:p w14:paraId="013FB332" w14:textId="0CD1873A" w:rsidR="00361080" w:rsidRPr="00F315D4" w:rsidRDefault="006C6112" w:rsidP="00F315D4">
      <w:pPr>
        <w:tabs>
          <w:tab w:val="left" w:pos="720"/>
        </w:tabs>
        <w:spacing w:after="220"/>
        <w:rPr>
          <w:sz w:val="22"/>
          <w:szCs w:val="22"/>
        </w:rPr>
      </w:pPr>
      <w:r w:rsidRPr="00F315D4">
        <w:rPr>
          <w:sz w:val="22"/>
          <w:szCs w:val="22"/>
        </w:rPr>
        <w:t>Data showed that 8.37</w:t>
      </w:r>
      <w:r w:rsidR="009E7C2A">
        <w:rPr>
          <w:sz w:val="22"/>
          <w:szCs w:val="22"/>
        </w:rPr>
        <w:t xml:space="preserve"> percent</w:t>
      </w:r>
      <w:r w:rsidRPr="00F315D4">
        <w:rPr>
          <w:sz w:val="22"/>
          <w:szCs w:val="22"/>
        </w:rPr>
        <w:t xml:space="preserve"> of decedents were recently released from some </w:t>
      </w:r>
      <w:r w:rsidR="001069E4" w:rsidRPr="00F315D4">
        <w:rPr>
          <w:sz w:val="22"/>
          <w:szCs w:val="22"/>
        </w:rPr>
        <w:t xml:space="preserve">institution (e.g., detention facility, hospital, residential facility). Table </w:t>
      </w:r>
      <w:r w:rsidR="003323F7" w:rsidRPr="00F315D4">
        <w:rPr>
          <w:sz w:val="22"/>
          <w:szCs w:val="22"/>
        </w:rPr>
        <w:t>7</w:t>
      </w:r>
      <w:r w:rsidR="001069E4" w:rsidRPr="00F315D4">
        <w:rPr>
          <w:sz w:val="22"/>
          <w:szCs w:val="22"/>
        </w:rPr>
        <w:t xml:space="preserve"> </w:t>
      </w:r>
      <w:r w:rsidR="004768CC" w:rsidRPr="00F315D4">
        <w:rPr>
          <w:sz w:val="22"/>
          <w:szCs w:val="22"/>
        </w:rPr>
        <w:t xml:space="preserve">details the </w:t>
      </w:r>
      <w:r w:rsidR="000229F6" w:rsidRPr="00F315D4">
        <w:rPr>
          <w:sz w:val="22"/>
          <w:szCs w:val="22"/>
        </w:rPr>
        <w:t>percentage of</w:t>
      </w:r>
      <w:r w:rsidR="00F03C7A" w:rsidRPr="00F315D4">
        <w:rPr>
          <w:sz w:val="22"/>
          <w:szCs w:val="22"/>
        </w:rPr>
        <w:t xml:space="preserve"> decedents</w:t>
      </w:r>
      <w:r w:rsidR="00701987" w:rsidRPr="00F315D4">
        <w:rPr>
          <w:sz w:val="22"/>
          <w:szCs w:val="22"/>
        </w:rPr>
        <w:t xml:space="preserve"> released from the most common institutions among the 102 decedents who had recently been released.</w:t>
      </w:r>
    </w:p>
    <w:tbl>
      <w:tblPr>
        <w:tblStyle w:val="TableGrid"/>
        <w:tblW w:w="10372" w:type="dxa"/>
        <w:tblLayout w:type="fixed"/>
        <w:tblLook w:val="04A0" w:firstRow="1" w:lastRow="0" w:firstColumn="1" w:lastColumn="0" w:noHBand="0" w:noVBand="1"/>
      </w:tblPr>
      <w:tblGrid>
        <w:gridCol w:w="6235"/>
        <w:gridCol w:w="1325"/>
        <w:gridCol w:w="810"/>
        <w:gridCol w:w="1530"/>
        <w:gridCol w:w="450"/>
        <w:gridCol w:w="22"/>
      </w:tblGrid>
      <w:tr w:rsidR="00936AD6" w:rsidRPr="00BC401D" w14:paraId="3A352FB3" w14:textId="77777777" w:rsidTr="00A424E5">
        <w:trPr>
          <w:trHeight w:val="360"/>
        </w:trPr>
        <w:tc>
          <w:tcPr>
            <w:tcW w:w="10372" w:type="dxa"/>
            <w:gridSpan w:val="6"/>
            <w:tcBorders>
              <w:top w:val="nil"/>
              <w:left w:val="nil"/>
              <w:bottom w:val="single" w:sz="36" w:space="0" w:color="auto"/>
              <w:right w:val="nil"/>
            </w:tcBorders>
          </w:tcPr>
          <w:p w14:paraId="35DB5413" w14:textId="602BC25A" w:rsidR="00936AD6" w:rsidRPr="00BC401D" w:rsidRDefault="00936AD6" w:rsidP="00936AD6">
            <w:pPr>
              <w:spacing w:after="120"/>
              <w:rPr>
                <w:b/>
              </w:rPr>
            </w:pPr>
            <w:r w:rsidRPr="00BC401D">
              <w:rPr>
                <w:b/>
              </w:rPr>
              <w:t xml:space="preserve">Table </w:t>
            </w:r>
            <w:r w:rsidR="00A424E5">
              <w:rPr>
                <w:b/>
              </w:rPr>
              <w:t>7</w:t>
            </w:r>
            <w:r w:rsidRPr="00BC401D">
              <w:rPr>
                <w:b/>
              </w:rPr>
              <w:t xml:space="preserve">: </w:t>
            </w:r>
            <w:r>
              <w:rPr>
                <w:b/>
              </w:rPr>
              <w:t>Most Common Institutions from wh</w:t>
            </w:r>
            <w:r w:rsidR="00E15B47">
              <w:rPr>
                <w:b/>
              </w:rPr>
              <w:t>ich</w:t>
            </w:r>
            <w:r>
              <w:rPr>
                <w:b/>
              </w:rPr>
              <w:t xml:space="preserve"> Decedents were Recently Released </w:t>
            </w:r>
          </w:p>
        </w:tc>
      </w:tr>
      <w:tr w:rsidR="00936AD6" w:rsidRPr="00D47DDD" w14:paraId="267D5D22" w14:textId="77777777" w:rsidTr="00A424E5">
        <w:trPr>
          <w:trHeight w:val="360"/>
        </w:trPr>
        <w:tc>
          <w:tcPr>
            <w:tcW w:w="6235" w:type="dxa"/>
            <w:tcBorders>
              <w:top w:val="single" w:sz="36" w:space="0" w:color="auto"/>
              <w:left w:val="nil"/>
              <w:bottom w:val="single" w:sz="4" w:space="0" w:color="auto"/>
              <w:right w:val="single" w:sz="4" w:space="0" w:color="auto"/>
            </w:tcBorders>
            <w:vAlign w:val="center"/>
          </w:tcPr>
          <w:p w14:paraId="2573B4DB" w14:textId="152C4366" w:rsidR="00936AD6" w:rsidRPr="0064417A" w:rsidRDefault="00936AD6" w:rsidP="00B62A4C">
            <w:pPr>
              <w:spacing w:after="0"/>
              <w:jc w:val="center"/>
              <w:rPr>
                <w:b/>
                <w:i/>
                <w:sz w:val="22"/>
              </w:rPr>
            </w:pPr>
            <w:r>
              <w:rPr>
                <w:b/>
                <w:i/>
                <w:sz w:val="22"/>
              </w:rPr>
              <w:t>Institution Type</w:t>
            </w:r>
          </w:p>
        </w:tc>
        <w:tc>
          <w:tcPr>
            <w:tcW w:w="2135" w:type="dxa"/>
            <w:gridSpan w:val="2"/>
            <w:tcBorders>
              <w:top w:val="single" w:sz="36" w:space="0" w:color="auto"/>
              <w:left w:val="single" w:sz="4" w:space="0" w:color="auto"/>
              <w:bottom w:val="single" w:sz="4" w:space="0" w:color="auto"/>
              <w:right w:val="nil"/>
            </w:tcBorders>
            <w:vAlign w:val="center"/>
          </w:tcPr>
          <w:p w14:paraId="62EDEC54" w14:textId="77777777" w:rsidR="00936AD6" w:rsidRPr="00D47DDD" w:rsidRDefault="00936AD6" w:rsidP="00B62A4C">
            <w:pPr>
              <w:spacing w:after="0"/>
              <w:jc w:val="center"/>
              <w:rPr>
                <w:rFonts w:eastAsia="Times New Roman"/>
                <w:b/>
                <w:i/>
                <w:sz w:val="22"/>
              </w:rPr>
            </w:pPr>
            <w:r>
              <w:rPr>
                <w:rFonts w:eastAsia="Times New Roman"/>
                <w:b/>
                <w:i/>
                <w:sz w:val="22"/>
              </w:rPr>
              <w:t>Frequency</w:t>
            </w:r>
          </w:p>
        </w:tc>
        <w:tc>
          <w:tcPr>
            <w:tcW w:w="2002" w:type="dxa"/>
            <w:gridSpan w:val="3"/>
            <w:tcBorders>
              <w:top w:val="single" w:sz="36" w:space="0" w:color="auto"/>
              <w:left w:val="nil"/>
              <w:bottom w:val="single" w:sz="4" w:space="0" w:color="auto"/>
              <w:right w:val="nil"/>
            </w:tcBorders>
            <w:vAlign w:val="center"/>
          </w:tcPr>
          <w:p w14:paraId="5C904A40" w14:textId="77777777" w:rsidR="00936AD6" w:rsidRPr="00D47DDD" w:rsidRDefault="00936AD6" w:rsidP="00B62A4C">
            <w:pPr>
              <w:spacing w:after="0"/>
              <w:jc w:val="center"/>
              <w:rPr>
                <w:rFonts w:eastAsia="Times New Roman"/>
                <w:b/>
                <w:i/>
                <w:sz w:val="22"/>
              </w:rPr>
            </w:pPr>
            <w:r>
              <w:rPr>
                <w:rFonts w:eastAsia="Times New Roman"/>
                <w:b/>
                <w:i/>
                <w:sz w:val="22"/>
              </w:rPr>
              <w:t>Percent</w:t>
            </w:r>
          </w:p>
        </w:tc>
      </w:tr>
      <w:tr w:rsidR="00C21B9A" w:rsidRPr="00D47DDD" w14:paraId="2D626A31" w14:textId="77777777" w:rsidTr="00B62A4C">
        <w:trPr>
          <w:gridAfter w:val="1"/>
          <w:wAfter w:w="22" w:type="dxa"/>
          <w:trHeight w:val="288"/>
        </w:trPr>
        <w:tc>
          <w:tcPr>
            <w:tcW w:w="6235" w:type="dxa"/>
            <w:tcBorders>
              <w:top w:val="single" w:sz="4" w:space="0" w:color="auto"/>
              <w:left w:val="nil"/>
              <w:bottom w:val="nil"/>
              <w:right w:val="single" w:sz="4" w:space="0" w:color="auto"/>
            </w:tcBorders>
          </w:tcPr>
          <w:p w14:paraId="326A99B3" w14:textId="428D6BA5" w:rsidR="00936AD6" w:rsidRPr="00713929" w:rsidRDefault="00E50F7C" w:rsidP="00936AD6">
            <w:pPr>
              <w:spacing w:after="0"/>
              <w:rPr>
                <w:sz w:val="22"/>
              </w:rPr>
            </w:pPr>
            <w:r>
              <w:rPr>
                <w:sz w:val="22"/>
              </w:rPr>
              <w:t>R</w:t>
            </w:r>
            <w:r w:rsidR="006C1F99">
              <w:rPr>
                <w:sz w:val="22"/>
              </w:rPr>
              <w:t xml:space="preserve">esidential facilities not related to </w:t>
            </w:r>
            <w:r w:rsidR="006A7369">
              <w:rPr>
                <w:sz w:val="22"/>
              </w:rPr>
              <w:t>substance abuse treatment</w:t>
            </w:r>
          </w:p>
        </w:tc>
        <w:tc>
          <w:tcPr>
            <w:tcW w:w="1325" w:type="dxa"/>
            <w:tcBorders>
              <w:top w:val="single" w:sz="4" w:space="0" w:color="auto"/>
              <w:left w:val="single" w:sz="4" w:space="0" w:color="auto"/>
              <w:bottom w:val="nil"/>
              <w:right w:val="nil"/>
            </w:tcBorders>
          </w:tcPr>
          <w:p w14:paraId="3E973248" w14:textId="3A5119D8" w:rsidR="00936AD6" w:rsidRPr="00D47DDD" w:rsidRDefault="00F871BB" w:rsidP="00F871BB">
            <w:pPr>
              <w:spacing w:after="0"/>
              <w:jc w:val="right"/>
              <w:rPr>
                <w:rFonts w:eastAsia="Times New Roman"/>
                <w:sz w:val="22"/>
              </w:rPr>
            </w:pPr>
            <w:r>
              <w:rPr>
                <w:rFonts w:eastAsia="Times New Roman"/>
                <w:sz w:val="22"/>
              </w:rPr>
              <w:t>35</w:t>
            </w:r>
          </w:p>
        </w:tc>
        <w:tc>
          <w:tcPr>
            <w:tcW w:w="810" w:type="dxa"/>
            <w:tcBorders>
              <w:top w:val="single" w:sz="4" w:space="0" w:color="auto"/>
              <w:left w:val="nil"/>
              <w:bottom w:val="nil"/>
              <w:right w:val="nil"/>
            </w:tcBorders>
          </w:tcPr>
          <w:p w14:paraId="4970CE38" w14:textId="77777777" w:rsidR="00936AD6" w:rsidRPr="00D47DDD" w:rsidRDefault="00936AD6" w:rsidP="00936AD6">
            <w:pPr>
              <w:spacing w:after="0"/>
              <w:rPr>
                <w:rFonts w:eastAsia="Times New Roman"/>
                <w:sz w:val="22"/>
              </w:rPr>
            </w:pPr>
          </w:p>
        </w:tc>
        <w:tc>
          <w:tcPr>
            <w:tcW w:w="1530" w:type="dxa"/>
            <w:tcBorders>
              <w:top w:val="nil"/>
              <w:left w:val="nil"/>
              <w:bottom w:val="nil"/>
              <w:right w:val="nil"/>
            </w:tcBorders>
          </w:tcPr>
          <w:p w14:paraId="07A420ED" w14:textId="074765D1" w:rsidR="00936AD6" w:rsidRPr="00D47DDD" w:rsidRDefault="00734921" w:rsidP="00936AD6">
            <w:pPr>
              <w:spacing w:after="0"/>
              <w:jc w:val="right"/>
              <w:rPr>
                <w:rFonts w:eastAsia="Times New Roman"/>
                <w:sz w:val="22"/>
              </w:rPr>
            </w:pPr>
            <w:r>
              <w:rPr>
                <w:rFonts w:eastAsia="Times New Roman"/>
                <w:sz w:val="22"/>
              </w:rPr>
              <w:t>34.31%</w:t>
            </w:r>
          </w:p>
        </w:tc>
        <w:tc>
          <w:tcPr>
            <w:tcW w:w="450" w:type="dxa"/>
            <w:tcBorders>
              <w:top w:val="nil"/>
              <w:left w:val="nil"/>
              <w:bottom w:val="nil"/>
              <w:right w:val="nil"/>
            </w:tcBorders>
          </w:tcPr>
          <w:p w14:paraId="3E8FCAC3" w14:textId="77777777" w:rsidR="00936AD6" w:rsidRPr="00D47DDD" w:rsidRDefault="00936AD6" w:rsidP="00936AD6">
            <w:pPr>
              <w:spacing w:after="0"/>
              <w:rPr>
                <w:rFonts w:eastAsia="Times New Roman"/>
                <w:sz w:val="22"/>
              </w:rPr>
            </w:pPr>
          </w:p>
        </w:tc>
      </w:tr>
      <w:tr w:rsidR="00C21B9A" w:rsidRPr="00D47DDD" w14:paraId="104AB79E" w14:textId="77777777" w:rsidTr="00B62A4C">
        <w:trPr>
          <w:gridAfter w:val="1"/>
          <w:wAfter w:w="22" w:type="dxa"/>
          <w:trHeight w:val="288"/>
        </w:trPr>
        <w:tc>
          <w:tcPr>
            <w:tcW w:w="6235" w:type="dxa"/>
            <w:tcBorders>
              <w:top w:val="nil"/>
              <w:left w:val="nil"/>
              <w:bottom w:val="nil"/>
              <w:right w:val="single" w:sz="4" w:space="0" w:color="auto"/>
            </w:tcBorders>
          </w:tcPr>
          <w:p w14:paraId="33909AFD" w14:textId="0ABB0602" w:rsidR="00936AD6" w:rsidRPr="006C1F99" w:rsidRDefault="006C1F99" w:rsidP="00936AD6">
            <w:pPr>
              <w:spacing w:after="0"/>
              <w:rPr>
                <w:sz w:val="22"/>
              </w:rPr>
            </w:pPr>
            <w:r>
              <w:rPr>
                <w:sz w:val="22"/>
              </w:rPr>
              <w:t>Jail, prison, or a detention facility</w:t>
            </w:r>
          </w:p>
        </w:tc>
        <w:tc>
          <w:tcPr>
            <w:tcW w:w="1325" w:type="dxa"/>
            <w:tcBorders>
              <w:top w:val="nil"/>
              <w:left w:val="single" w:sz="4" w:space="0" w:color="auto"/>
              <w:bottom w:val="nil"/>
              <w:right w:val="nil"/>
            </w:tcBorders>
          </w:tcPr>
          <w:p w14:paraId="4D96B6CC" w14:textId="619014A5" w:rsidR="00936AD6" w:rsidRPr="00D47DDD" w:rsidRDefault="00F871BB" w:rsidP="00936AD6">
            <w:pPr>
              <w:spacing w:after="0"/>
              <w:jc w:val="right"/>
              <w:rPr>
                <w:rFonts w:eastAsia="Times New Roman"/>
                <w:sz w:val="22"/>
              </w:rPr>
            </w:pPr>
            <w:r>
              <w:rPr>
                <w:rFonts w:eastAsia="Times New Roman"/>
                <w:sz w:val="22"/>
              </w:rPr>
              <w:t>30</w:t>
            </w:r>
          </w:p>
        </w:tc>
        <w:tc>
          <w:tcPr>
            <w:tcW w:w="810" w:type="dxa"/>
            <w:tcBorders>
              <w:top w:val="nil"/>
              <w:left w:val="nil"/>
              <w:bottom w:val="nil"/>
              <w:right w:val="nil"/>
            </w:tcBorders>
          </w:tcPr>
          <w:p w14:paraId="29EF969D" w14:textId="77777777" w:rsidR="00936AD6" w:rsidRPr="00D47DDD" w:rsidRDefault="00936AD6" w:rsidP="00936AD6">
            <w:pPr>
              <w:spacing w:after="0"/>
              <w:jc w:val="center"/>
              <w:rPr>
                <w:rFonts w:eastAsia="Times New Roman"/>
                <w:sz w:val="22"/>
              </w:rPr>
            </w:pPr>
          </w:p>
        </w:tc>
        <w:tc>
          <w:tcPr>
            <w:tcW w:w="1530" w:type="dxa"/>
            <w:tcBorders>
              <w:top w:val="nil"/>
              <w:left w:val="nil"/>
              <w:bottom w:val="nil"/>
              <w:right w:val="nil"/>
            </w:tcBorders>
          </w:tcPr>
          <w:p w14:paraId="6771CB17" w14:textId="41EC18CA" w:rsidR="00936AD6" w:rsidRPr="00D47DDD" w:rsidRDefault="004D05F4" w:rsidP="00936AD6">
            <w:pPr>
              <w:spacing w:after="0"/>
              <w:jc w:val="right"/>
              <w:rPr>
                <w:rFonts w:eastAsia="Times New Roman"/>
                <w:sz w:val="22"/>
              </w:rPr>
            </w:pPr>
            <w:r>
              <w:rPr>
                <w:rFonts w:eastAsia="Times New Roman"/>
                <w:sz w:val="22"/>
              </w:rPr>
              <w:t>29.41</w:t>
            </w:r>
            <w:r w:rsidR="00936AD6">
              <w:rPr>
                <w:rFonts w:eastAsia="Times New Roman"/>
                <w:sz w:val="22"/>
              </w:rPr>
              <w:t>%</w:t>
            </w:r>
          </w:p>
        </w:tc>
        <w:tc>
          <w:tcPr>
            <w:tcW w:w="450" w:type="dxa"/>
            <w:tcBorders>
              <w:top w:val="nil"/>
              <w:left w:val="nil"/>
              <w:bottom w:val="nil"/>
              <w:right w:val="nil"/>
            </w:tcBorders>
          </w:tcPr>
          <w:p w14:paraId="13892B31" w14:textId="77777777" w:rsidR="00936AD6" w:rsidRPr="00D47DDD" w:rsidRDefault="00936AD6" w:rsidP="00936AD6">
            <w:pPr>
              <w:spacing w:after="0"/>
              <w:jc w:val="center"/>
              <w:rPr>
                <w:rFonts w:eastAsia="Times New Roman"/>
                <w:sz w:val="22"/>
              </w:rPr>
            </w:pPr>
          </w:p>
        </w:tc>
      </w:tr>
      <w:tr w:rsidR="00C21B9A" w:rsidRPr="00D47DDD" w14:paraId="0CCAD48C" w14:textId="77777777" w:rsidTr="00B62A4C">
        <w:trPr>
          <w:gridAfter w:val="1"/>
          <w:wAfter w:w="22" w:type="dxa"/>
          <w:trHeight w:val="288"/>
        </w:trPr>
        <w:tc>
          <w:tcPr>
            <w:tcW w:w="6235" w:type="dxa"/>
            <w:tcBorders>
              <w:top w:val="nil"/>
              <w:left w:val="nil"/>
              <w:bottom w:val="nil"/>
              <w:right w:val="single" w:sz="4" w:space="0" w:color="auto"/>
            </w:tcBorders>
          </w:tcPr>
          <w:p w14:paraId="1D72E072" w14:textId="2FA0A38F" w:rsidR="00936AD6" w:rsidRPr="006A7369" w:rsidRDefault="006A7369" w:rsidP="00936AD6">
            <w:pPr>
              <w:spacing w:after="0"/>
              <w:rPr>
                <w:sz w:val="22"/>
              </w:rPr>
            </w:pPr>
            <w:r>
              <w:rPr>
                <w:sz w:val="22"/>
              </w:rPr>
              <w:t>Hospital</w:t>
            </w:r>
          </w:p>
        </w:tc>
        <w:tc>
          <w:tcPr>
            <w:tcW w:w="1325" w:type="dxa"/>
            <w:tcBorders>
              <w:top w:val="nil"/>
              <w:left w:val="single" w:sz="4" w:space="0" w:color="auto"/>
              <w:bottom w:val="nil"/>
              <w:right w:val="nil"/>
            </w:tcBorders>
          </w:tcPr>
          <w:p w14:paraId="5B194A28" w14:textId="53DAA52B" w:rsidR="00936AD6" w:rsidRPr="00D47DDD" w:rsidRDefault="00F871BB" w:rsidP="00936AD6">
            <w:pPr>
              <w:spacing w:after="0"/>
              <w:jc w:val="right"/>
              <w:rPr>
                <w:rFonts w:eastAsia="Times New Roman"/>
                <w:sz w:val="22"/>
              </w:rPr>
            </w:pPr>
            <w:r>
              <w:rPr>
                <w:rFonts w:eastAsia="Times New Roman"/>
                <w:sz w:val="22"/>
              </w:rPr>
              <w:t>22</w:t>
            </w:r>
          </w:p>
        </w:tc>
        <w:tc>
          <w:tcPr>
            <w:tcW w:w="810" w:type="dxa"/>
            <w:tcBorders>
              <w:top w:val="nil"/>
              <w:left w:val="nil"/>
              <w:bottom w:val="nil"/>
              <w:right w:val="nil"/>
            </w:tcBorders>
          </w:tcPr>
          <w:p w14:paraId="743ECB14" w14:textId="77777777" w:rsidR="00936AD6" w:rsidRPr="00D47DDD" w:rsidRDefault="00936AD6" w:rsidP="00936AD6">
            <w:pPr>
              <w:spacing w:after="0"/>
              <w:jc w:val="center"/>
              <w:rPr>
                <w:rFonts w:eastAsia="Times New Roman"/>
                <w:sz w:val="22"/>
              </w:rPr>
            </w:pPr>
          </w:p>
        </w:tc>
        <w:tc>
          <w:tcPr>
            <w:tcW w:w="1530" w:type="dxa"/>
            <w:tcBorders>
              <w:top w:val="nil"/>
              <w:left w:val="nil"/>
              <w:bottom w:val="nil"/>
              <w:right w:val="nil"/>
            </w:tcBorders>
          </w:tcPr>
          <w:p w14:paraId="2801A358" w14:textId="570C767A" w:rsidR="00936AD6" w:rsidRPr="00D47DDD" w:rsidRDefault="0065169E" w:rsidP="00936AD6">
            <w:pPr>
              <w:spacing w:after="0"/>
              <w:jc w:val="right"/>
              <w:rPr>
                <w:rFonts w:eastAsia="Times New Roman"/>
                <w:sz w:val="22"/>
              </w:rPr>
            </w:pPr>
            <w:r>
              <w:rPr>
                <w:rFonts w:eastAsia="Times New Roman"/>
                <w:sz w:val="22"/>
              </w:rPr>
              <w:t>21.57</w:t>
            </w:r>
            <w:r w:rsidR="00936AD6">
              <w:rPr>
                <w:rFonts w:eastAsia="Times New Roman"/>
                <w:sz w:val="22"/>
              </w:rPr>
              <w:t>%</w:t>
            </w:r>
          </w:p>
        </w:tc>
        <w:tc>
          <w:tcPr>
            <w:tcW w:w="450" w:type="dxa"/>
            <w:tcBorders>
              <w:top w:val="nil"/>
              <w:left w:val="nil"/>
              <w:bottom w:val="nil"/>
              <w:right w:val="nil"/>
            </w:tcBorders>
          </w:tcPr>
          <w:p w14:paraId="61E44228" w14:textId="77777777" w:rsidR="00936AD6" w:rsidRPr="00D47DDD" w:rsidRDefault="00936AD6" w:rsidP="00936AD6">
            <w:pPr>
              <w:spacing w:after="0"/>
              <w:jc w:val="center"/>
              <w:rPr>
                <w:rFonts w:eastAsia="Times New Roman"/>
                <w:sz w:val="22"/>
              </w:rPr>
            </w:pPr>
          </w:p>
        </w:tc>
      </w:tr>
      <w:tr w:rsidR="00C21B9A" w:rsidRPr="00D47DDD" w14:paraId="1589F1E5" w14:textId="77777777" w:rsidTr="00B62A4C">
        <w:trPr>
          <w:gridAfter w:val="1"/>
          <w:wAfter w:w="22" w:type="dxa"/>
          <w:trHeight w:val="288"/>
        </w:trPr>
        <w:tc>
          <w:tcPr>
            <w:tcW w:w="6235" w:type="dxa"/>
            <w:tcBorders>
              <w:top w:val="nil"/>
              <w:left w:val="nil"/>
              <w:bottom w:val="nil"/>
              <w:right w:val="single" w:sz="4" w:space="0" w:color="auto"/>
            </w:tcBorders>
          </w:tcPr>
          <w:p w14:paraId="5C48B46F" w14:textId="0AB2DAEE" w:rsidR="00936AD6" w:rsidRPr="00713929" w:rsidRDefault="00F871BB" w:rsidP="00936AD6">
            <w:pPr>
              <w:spacing w:after="0"/>
              <w:rPr>
                <w:sz w:val="22"/>
              </w:rPr>
            </w:pPr>
            <w:r>
              <w:rPr>
                <w:sz w:val="22"/>
              </w:rPr>
              <w:t>Psychiatric hospital</w:t>
            </w:r>
          </w:p>
        </w:tc>
        <w:tc>
          <w:tcPr>
            <w:tcW w:w="1325" w:type="dxa"/>
            <w:tcBorders>
              <w:top w:val="nil"/>
              <w:left w:val="single" w:sz="4" w:space="0" w:color="auto"/>
              <w:bottom w:val="nil"/>
              <w:right w:val="nil"/>
            </w:tcBorders>
          </w:tcPr>
          <w:p w14:paraId="6C3EDB4A" w14:textId="0A85A49F" w:rsidR="00936AD6" w:rsidRPr="00D47DDD" w:rsidRDefault="00F871BB" w:rsidP="00936AD6">
            <w:pPr>
              <w:spacing w:after="0"/>
              <w:jc w:val="right"/>
              <w:rPr>
                <w:rFonts w:eastAsia="Times New Roman"/>
                <w:sz w:val="22"/>
              </w:rPr>
            </w:pPr>
            <w:r>
              <w:rPr>
                <w:rFonts w:eastAsia="Times New Roman"/>
                <w:sz w:val="22"/>
              </w:rPr>
              <w:t>4</w:t>
            </w:r>
          </w:p>
        </w:tc>
        <w:tc>
          <w:tcPr>
            <w:tcW w:w="810" w:type="dxa"/>
            <w:tcBorders>
              <w:top w:val="nil"/>
              <w:left w:val="nil"/>
              <w:bottom w:val="nil"/>
              <w:right w:val="nil"/>
            </w:tcBorders>
          </w:tcPr>
          <w:p w14:paraId="426FA556" w14:textId="77777777" w:rsidR="00936AD6" w:rsidRPr="00D47DDD" w:rsidRDefault="00936AD6" w:rsidP="00936AD6">
            <w:pPr>
              <w:spacing w:after="0"/>
              <w:jc w:val="center"/>
              <w:rPr>
                <w:rFonts w:eastAsia="Times New Roman"/>
                <w:sz w:val="22"/>
              </w:rPr>
            </w:pPr>
          </w:p>
        </w:tc>
        <w:tc>
          <w:tcPr>
            <w:tcW w:w="1530" w:type="dxa"/>
            <w:tcBorders>
              <w:top w:val="nil"/>
              <w:left w:val="nil"/>
              <w:bottom w:val="nil"/>
              <w:right w:val="nil"/>
            </w:tcBorders>
          </w:tcPr>
          <w:p w14:paraId="5026AD08" w14:textId="79741C5B" w:rsidR="00936AD6" w:rsidRPr="00D47DDD" w:rsidRDefault="004D05F4" w:rsidP="00936AD6">
            <w:pPr>
              <w:spacing w:after="0"/>
              <w:jc w:val="right"/>
              <w:rPr>
                <w:rFonts w:eastAsia="Times New Roman"/>
                <w:sz w:val="22"/>
              </w:rPr>
            </w:pPr>
            <w:r>
              <w:rPr>
                <w:rFonts w:eastAsia="Times New Roman"/>
                <w:sz w:val="22"/>
              </w:rPr>
              <w:t>3.92%</w:t>
            </w:r>
          </w:p>
        </w:tc>
        <w:tc>
          <w:tcPr>
            <w:tcW w:w="450" w:type="dxa"/>
            <w:tcBorders>
              <w:top w:val="nil"/>
              <w:left w:val="nil"/>
              <w:bottom w:val="nil"/>
              <w:right w:val="nil"/>
            </w:tcBorders>
          </w:tcPr>
          <w:p w14:paraId="76C8EF1C" w14:textId="77777777" w:rsidR="00936AD6" w:rsidRPr="00D47DDD" w:rsidRDefault="00936AD6" w:rsidP="00936AD6">
            <w:pPr>
              <w:spacing w:after="0"/>
              <w:jc w:val="center"/>
              <w:rPr>
                <w:rFonts w:eastAsia="Times New Roman"/>
                <w:sz w:val="22"/>
              </w:rPr>
            </w:pPr>
          </w:p>
        </w:tc>
      </w:tr>
      <w:tr w:rsidR="00F871BB" w:rsidRPr="00D47DDD" w14:paraId="4F783B80" w14:textId="77777777" w:rsidTr="00B62A4C">
        <w:trPr>
          <w:gridAfter w:val="1"/>
          <w:wAfter w:w="22" w:type="dxa"/>
          <w:trHeight w:val="288"/>
        </w:trPr>
        <w:tc>
          <w:tcPr>
            <w:tcW w:w="6235" w:type="dxa"/>
            <w:tcBorders>
              <w:top w:val="nil"/>
              <w:left w:val="nil"/>
              <w:bottom w:val="single" w:sz="4" w:space="0" w:color="auto"/>
              <w:right w:val="single" w:sz="4" w:space="0" w:color="auto"/>
            </w:tcBorders>
          </w:tcPr>
          <w:p w14:paraId="6F7966CF" w14:textId="36CA0B95" w:rsidR="00F871BB" w:rsidRDefault="00F871BB" w:rsidP="00936AD6">
            <w:pPr>
              <w:spacing w:after="0"/>
              <w:rPr>
                <w:sz w:val="22"/>
              </w:rPr>
            </w:pPr>
            <w:r>
              <w:rPr>
                <w:sz w:val="22"/>
              </w:rPr>
              <w:t>Other institution</w:t>
            </w:r>
          </w:p>
        </w:tc>
        <w:tc>
          <w:tcPr>
            <w:tcW w:w="1325" w:type="dxa"/>
            <w:tcBorders>
              <w:top w:val="nil"/>
              <w:left w:val="single" w:sz="4" w:space="0" w:color="auto"/>
              <w:bottom w:val="single" w:sz="4" w:space="0" w:color="auto"/>
              <w:right w:val="nil"/>
            </w:tcBorders>
          </w:tcPr>
          <w:p w14:paraId="1F6A03AB" w14:textId="3C12D90C" w:rsidR="00F871BB" w:rsidRPr="00D47DDD" w:rsidRDefault="0022328E" w:rsidP="00936AD6">
            <w:pPr>
              <w:spacing w:after="0"/>
              <w:jc w:val="right"/>
              <w:rPr>
                <w:rFonts w:eastAsia="Times New Roman"/>
                <w:sz w:val="22"/>
              </w:rPr>
            </w:pPr>
            <w:r>
              <w:rPr>
                <w:rFonts w:eastAsia="Times New Roman"/>
                <w:sz w:val="22"/>
              </w:rPr>
              <w:t>4</w:t>
            </w:r>
          </w:p>
        </w:tc>
        <w:tc>
          <w:tcPr>
            <w:tcW w:w="810" w:type="dxa"/>
            <w:tcBorders>
              <w:top w:val="nil"/>
              <w:left w:val="nil"/>
              <w:bottom w:val="single" w:sz="4" w:space="0" w:color="auto"/>
              <w:right w:val="nil"/>
            </w:tcBorders>
          </w:tcPr>
          <w:p w14:paraId="411B8353" w14:textId="77777777" w:rsidR="00F871BB" w:rsidRPr="00D47DDD" w:rsidRDefault="00F871BB" w:rsidP="00936AD6">
            <w:pPr>
              <w:spacing w:after="0"/>
              <w:jc w:val="center"/>
              <w:rPr>
                <w:rFonts w:eastAsia="Times New Roman"/>
                <w:sz w:val="22"/>
              </w:rPr>
            </w:pPr>
          </w:p>
        </w:tc>
        <w:tc>
          <w:tcPr>
            <w:tcW w:w="1530" w:type="dxa"/>
            <w:tcBorders>
              <w:top w:val="nil"/>
              <w:left w:val="nil"/>
              <w:bottom w:val="single" w:sz="4" w:space="0" w:color="auto"/>
              <w:right w:val="nil"/>
            </w:tcBorders>
          </w:tcPr>
          <w:p w14:paraId="5789D693" w14:textId="586CD507" w:rsidR="00F871BB" w:rsidRPr="00D47DDD" w:rsidRDefault="004D05F4" w:rsidP="00936AD6">
            <w:pPr>
              <w:spacing w:after="0"/>
              <w:jc w:val="right"/>
              <w:rPr>
                <w:rFonts w:eastAsia="Times New Roman"/>
                <w:sz w:val="22"/>
              </w:rPr>
            </w:pPr>
            <w:r>
              <w:rPr>
                <w:rFonts w:eastAsia="Times New Roman"/>
                <w:sz w:val="22"/>
              </w:rPr>
              <w:t>3.92%</w:t>
            </w:r>
          </w:p>
        </w:tc>
        <w:tc>
          <w:tcPr>
            <w:tcW w:w="450" w:type="dxa"/>
            <w:tcBorders>
              <w:top w:val="nil"/>
              <w:left w:val="nil"/>
              <w:bottom w:val="single" w:sz="4" w:space="0" w:color="auto"/>
              <w:right w:val="nil"/>
            </w:tcBorders>
          </w:tcPr>
          <w:p w14:paraId="5DF9B3EC" w14:textId="77777777" w:rsidR="00F871BB" w:rsidRPr="00D47DDD" w:rsidRDefault="00F871BB" w:rsidP="00936AD6">
            <w:pPr>
              <w:spacing w:after="0"/>
              <w:jc w:val="center"/>
              <w:rPr>
                <w:rFonts w:eastAsia="Times New Roman"/>
                <w:sz w:val="22"/>
              </w:rPr>
            </w:pPr>
          </w:p>
        </w:tc>
      </w:tr>
    </w:tbl>
    <w:p w14:paraId="2A66F66F" w14:textId="5517F5C8" w:rsidR="00B337D2" w:rsidRDefault="00B337D2" w:rsidP="003323F7">
      <w:pPr>
        <w:tabs>
          <w:tab w:val="left" w:pos="720"/>
        </w:tabs>
        <w:spacing w:after="120"/>
      </w:pPr>
    </w:p>
    <w:p w14:paraId="133CDCA4" w14:textId="7139A6E4" w:rsidR="004C6D3F" w:rsidRPr="00F315D4" w:rsidRDefault="00704B7F" w:rsidP="00F315D4">
      <w:pPr>
        <w:tabs>
          <w:tab w:val="left" w:pos="720"/>
        </w:tabs>
        <w:spacing w:after="220"/>
        <w:rPr>
          <w:sz w:val="22"/>
          <w:szCs w:val="22"/>
        </w:rPr>
      </w:pPr>
      <w:r w:rsidRPr="00F315D4">
        <w:rPr>
          <w:sz w:val="22"/>
          <w:szCs w:val="22"/>
        </w:rPr>
        <w:t>After the overdose, d</w:t>
      </w:r>
      <w:r w:rsidR="00D33A48" w:rsidRPr="00F315D4">
        <w:rPr>
          <w:sz w:val="22"/>
          <w:szCs w:val="22"/>
        </w:rPr>
        <w:t xml:space="preserve">ecedents were most likely to have </w:t>
      </w:r>
      <w:r w:rsidR="00C41CC6" w:rsidRPr="00F315D4">
        <w:rPr>
          <w:sz w:val="22"/>
          <w:szCs w:val="22"/>
        </w:rPr>
        <w:t xml:space="preserve">died </w:t>
      </w:r>
      <w:r w:rsidRPr="00F315D4">
        <w:rPr>
          <w:sz w:val="22"/>
          <w:szCs w:val="22"/>
        </w:rPr>
        <w:t xml:space="preserve">in </w:t>
      </w:r>
      <w:r w:rsidR="00D33A48" w:rsidRPr="00F315D4">
        <w:rPr>
          <w:sz w:val="22"/>
          <w:szCs w:val="22"/>
        </w:rPr>
        <w:t>their own home</w:t>
      </w:r>
      <w:r w:rsidR="00660730" w:rsidRPr="00F315D4">
        <w:rPr>
          <w:sz w:val="22"/>
          <w:szCs w:val="22"/>
        </w:rPr>
        <w:t>, at an emergency department or outpatient facility, or at a hospital.</w:t>
      </w:r>
      <w:r w:rsidR="00E8360F" w:rsidRPr="00F315D4">
        <w:rPr>
          <w:sz w:val="22"/>
          <w:szCs w:val="22"/>
        </w:rPr>
        <w:t xml:space="preserve"> Naloxone was </w:t>
      </w:r>
      <w:r w:rsidR="008F5974" w:rsidRPr="00F315D4">
        <w:rPr>
          <w:sz w:val="22"/>
          <w:szCs w:val="22"/>
        </w:rPr>
        <w:t>administered to 13.81</w:t>
      </w:r>
      <w:r w:rsidR="009E7C2A">
        <w:rPr>
          <w:sz w:val="22"/>
          <w:szCs w:val="22"/>
        </w:rPr>
        <w:t xml:space="preserve"> percent</w:t>
      </w:r>
      <w:r w:rsidR="008F5974" w:rsidRPr="00F315D4">
        <w:rPr>
          <w:sz w:val="22"/>
          <w:szCs w:val="22"/>
        </w:rPr>
        <w:t xml:space="preserve"> of</w:t>
      </w:r>
      <w:r w:rsidR="003C1AC9" w:rsidRPr="00F315D4">
        <w:rPr>
          <w:sz w:val="22"/>
          <w:szCs w:val="22"/>
        </w:rPr>
        <w:t xml:space="preserve"> all</w:t>
      </w:r>
      <w:r w:rsidR="00F315D4">
        <w:rPr>
          <w:sz w:val="22"/>
          <w:szCs w:val="22"/>
        </w:rPr>
        <w:t xml:space="preserve"> </w:t>
      </w:r>
      <w:r w:rsidR="008F5974" w:rsidRPr="00F315D4">
        <w:rPr>
          <w:sz w:val="22"/>
          <w:szCs w:val="22"/>
        </w:rPr>
        <w:t xml:space="preserve">decedents. These deaths </w:t>
      </w:r>
      <w:r w:rsidR="003C1AC9" w:rsidRPr="00F315D4">
        <w:rPr>
          <w:sz w:val="22"/>
          <w:szCs w:val="22"/>
        </w:rPr>
        <w:t>could stem from cases where the drug was administered to</w:t>
      </w:r>
      <w:r w:rsidRPr="00F315D4">
        <w:rPr>
          <w:sz w:val="22"/>
          <w:szCs w:val="22"/>
        </w:rPr>
        <w:t>o</w:t>
      </w:r>
      <w:r w:rsidR="003C1AC9" w:rsidRPr="00F315D4">
        <w:rPr>
          <w:sz w:val="22"/>
          <w:szCs w:val="22"/>
        </w:rPr>
        <w:t xml:space="preserve"> late</w:t>
      </w:r>
      <w:r w:rsidR="003D37CC" w:rsidRPr="00F315D4">
        <w:rPr>
          <w:sz w:val="22"/>
          <w:szCs w:val="22"/>
        </w:rPr>
        <w:t xml:space="preserve">, multiple drugs were in their system, or an insufficient dose was given. </w:t>
      </w:r>
      <w:r w:rsidR="00E87DE9" w:rsidRPr="00F315D4">
        <w:rPr>
          <w:sz w:val="22"/>
          <w:szCs w:val="22"/>
        </w:rPr>
        <w:t xml:space="preserve">Table </w:t>
      </w:r>
      <w:r w:rsidR="003323F7" w:rsidRPr="00F315D4">
        <w:rPr>
          <w:sz w:val="22"/>
          <w:szCs w:val="22"/>
        </w:rPr>
        <w:t>8</w:t>
      </w:r>
      <w:r w:rsidR="00E87DE9" w:rsidRPr="00F315D4">
        <w:rPr>
          <w:sz w:val="22"/>
          <w:szCs w:val="22"/>
        </w:rPr>
        <w:t xml:space="preserve"> </w:t>
      </w:r>
      <w:r w:rsidR="00FE7B99" w:rsidRPr="00F315D4">
        <w:rPr>
          <w:sz w:val="22"/>
          <w:szCs w:val="22"/>
        </w:rPr>
        <w:t xml:space="preserve">shows the </w:t>
      </w:r>
      <w:r w:rsidR="00D97B75" w:rsidRPr="00F315D4">
        <w:rPr>
          <w:sz w:val="22"/>
          <w:szCs w:val="22"/>
        </w:rPr>
        <w:t>percent</w:t>
      </w:r>
      <w:r w:rsidR="000A033C" w:rsidRPr="00F315D4">
        <w:rPr>
          <w:sz w:val="22"/>
          <w:szCs w:val="22"/>
        </w:rPr>
        <w:t xml:space="preserve"> of </w:t>
      </w:r>
      <w:r w:rsidR="00E15B47" w:rsidRPr="00F315D4">
        <w:rPr>
          <w:sz w:val="22"/>
          <w:szCs w:val="22"/>
        </w:rPr>
        <w:t>na</w:t>
      </w:r>
      <w:r w:rsidR="000A033C" w:rsidRPr="00F315D4">
        <w:rPr>
          <w:sz w:val="22"/>
          <w:szCs w:val="22"/>
        </w:rPr>
        <w:t>loxone administration by</w:t>
      </w:r>
      <w:r w:rsidR="00604CC0" w:rsidRPr="00F315D4">
        <w:rPr>
          <w:sz w:val="22"/>
          <w:szCs w:val="22"/>
        </w:rPr>
        <w:t xml:space="preserve"> most common</w:t>
      </w:r>
      <w:r w:rsidR="000A033C" w:rsidRPr="00F315D4">
        <w:rPr>
          <w:sz w:val="22"/>
          <w:szCs w:val="22"/>
        </w:rPr>
        <w:t xml:space="preserve"> </w:t>
      </w:r>
      <w:r w:rsidR="00FE7B99" w:rsidRPr="00F315D4">
        <w:rPr>
          <w:sz w:val="22"/>
          <w:szCs w:val="22"/>
        </w:rPr>
        <w:t>location of death.</w:t>
      </w:r>
    </w:p>
    <w:tbl>
      <w:tblPr>
        <w:tblStyle w:val="TableGrid"/>
        <w:tblW w:w="9805" w:type="dxa"/>
        <w:tblLayout w:type="fixed"/>
        <w:tblLook w:val="04A0" w:firstRow="1" w:lastRow="0" w:firstColumn="1" w:lastColumn="0" w:noHBand="0" w:noVBand="1"/>
      </w:tblPr>
      <w:tblGrid>
        <w:gridCol w:w="2430"/>
        <w:gridCol w:w="1615"/>
        <w:gridCol w:w="1080"/>
        <w:gridCol w:w="2520"/>
        <w:gridCol w:w="2160"/>
      </w:tblGrid>
      <w:tr w:rsidR="000B39ED" w:rsidRPr="00BC401D" w14:paraId="3D8D82A5" w14:textId="77777777" w:rsidTr="00A424E5">
        <w:trPr>
          <w:trHeight w:val="360"/>
        </w:trPr>
        <w:tc>
          <w:tcPr>
            <w:tcW w:w="9805" w:type="dxa"/>
            <w:gridSpan w:val="5"/>
            <w:tcBorders>
              <w:top w:val="nil"/>
              <w:left w:val="nil"/>
              <w:bottom w:val="single" w:sz="36" w:space="0" w:color="auto"/>
              <w:right w:val="nil"/>
            </w:tcBorders>
          </w:tcPr>
          <w:p w14:paraId="214B530C" w14:textId="56B49E6B" w:rsidR="000B39ED" w:rsidRPr="00BC401D" w:rsidRDefault="000B39ED" w:rsidP="00B907C8">
            <w:pPr>
              <w:spacing w:after="120"/>
              <w:rPr>
                <w:b/>
              </w:rPr>
            </w:pPr>
            <w:r w:rsidRPr="00BC401D">
              <w:rPr>
                <w:b/>
              </w:rPr>
              <w:t xml:space="preserve">Table </w:t>
            </w:r>
            <w:r w:rsidR="00A424E5">
              <w:rPr>
                <w:b/>
              </w:rPr>
              <w:t>8</w:t>
            </w:r>
            <w:r w:rsidRPr="00BC401D">
              <w:rPr>
                <w:b/>
              </w:rPr>
              <w:t xml:space="preserve">: </w:t>
            </w:r>
            <w:r w:rsidR="00604CC0">
              <w:rPr>
                <w:b/>
              </w:rPr>
              <w:t>Percent of Naloxone Administration by Most Common Locations of Death</w:t>
            </w:r>
            <w:r>
              <w:rPr>
                <w:b/>
              </w:rPr>
              <w:t xml:space="preserve"> </w:t>
            </w:r>
          </w:p>
        </w:tc>
      </w:tr>
      <w:tr w:rsidR="000B39ED" w:rsidRPr="00D47DDD" w14:paraId="551A0F1B" w14:textId="77777777" w:rsidTr="00A424E5">
        <w:trPr>
          <w:trHeight w:val="360"/>
        </w:trPr>
        <w:tc>
          <w:tcPr>
            <w:tcW w:w="2430" w:type="dxa"/>
            <w:tcBorders>
              <w:top w:val="single" w:sz="36" w:space="0" w:color="auto"/>
              <w:left w:val="nil"/>
              <w:bottom w:val="single" w:sz="4" w:space="0" w:color="auto"/>
              <w:right w:val="nil"/>
            </w:tcBorders>
            <w:vAlign w:val="center"/>
          </w:tcPr>
          <w:p w14:paraId="363CAE0F" w14:textId="77777777" w:rsidR="000B39ED" w:rsidRPr="0064417A" w:rsidRDefault="000B39ED" w:rsidP="00B907C8">
            <w:pPr>
              <w:spacing w:after="0"/>
              <w:jc w:val="center"/>
              <w:rPr>
                <w:b/>
                <w:i/>
                <w:sz w:val="22"/>
              </w:rPr>
            </w:pPr>
            <w:r>
              <w:rPr>
                <w:b/>
                <w:i/>
                <w:sz w:val="22"/>
              </w:rPr>
              <w:t>Death Location</w:t>
            </w:r>
          </w:p>
        </w:tc>
        <w:tc>
          <w:tcPr>
            <w:tcW w:w="2695" w:type="dxa"/>
            <w:gridSpan w:val="2"/>
            <w:tcBorders>
              <w:top w:val="single" w:sz="36" w:space="0" w:color="auto"/>
              <w:left w:val="nil"/>
              <w:bottom w:val="single" w:sz="4" w:space="0" w:color="auto"/>
              <w:right w:val="nil"/>
            </w:tcBorders>
            <w:vAlign w:val="center"/>
          </w:tcPr>
          <w:p w14:paraId="50EE4612" w14:textId="36CD36FA" w:rsidR="000B39ED" w:rsidRPr="00D47DDD" w:rsidRDefault="000B39ED" w:rsidP="00B907C8">
            <w:pPr>
              <w:spacing w:after="0"/>
              <w:jc w:val="center"/>
              <w:rPr>
                <w:rFonts w:eastAsia="Times New Roman"/>
                <w:b/>
                <w:i/>
                <w:sz w:val="22"/>
              </w:rPr>
            </w:pPr>
            <w:r>
              <w:rPr>
                <w:rFonts w:eastAsia="Times New Roman"/>
                <w:b/>
                <w:i/>
                <w:sz w:val="22"/>
              </w:rPr>
              <w:t>Total</w:t>
            </w:r>
            <w:r w:rsidR="001229BC">
              <w:rPr>
                <w:rFonts w:eastAsia="Times New Roman"/>
                <w:b/>
                <w:i/>
                <w:sz w:val="22"/>
              </w:rPr>
              <w:t xml:space="preserve"> Decedents</w:t>
            </w:r>
          </w:p>
        </w:tc>
        <w:tc>
          <w:tcPr>
            <w:tcW w:w="4680" w:type="dxa"/>
            <w:gridSpan w:val="2"/>
            <w:tcBorders>
              <w:top w:val="single" w:sz="36" w:space="0" w:color="auto"/>
              <w:left w:val="nil"/>
              <w:bottom w:val="single" w:sz="4" w:space="0" w:color="auto"/>
              <w:right w:val="nil"/>
            </w:tcBorders>
            <w:vAlign w:val="center"/>
          </w:tcPr>
          <w:p w14:paraId="60030B76" w14:textId="31CB4D15" w:rsidR="000B39ED" w:rsidRPr="00D47DDD" w:rsidRDefault="000B39ED" w:rsidP="00B907C8">
            <w:pPr>
              <w:spacing w:after="0"/>
              <w:jc w:val="center"/>
              <w:rPr>
                <w:rFonts w:eastAsia="Times New Roman"/>
                <w:b/>
                <w:i/>
                <w:sz w:val="22"/>
              </w:rPr>
            </w:pPr>
            <w:r>
              <w:rPr>
                <w:rFonts w:eastAsia="Times New Roman"/>
                <w:b/>
                <w:i/>
                <w:sz w:val="22"/>
              </w:rPr>
              <w:t>Naloxone Administered</w:t>
            </w:r>
          </w:p>
        </w:tc>
      </w:tr>
      <w:tr w:rsidR="000B39ED" w:rsidRPr="00D47DDD" w14:paraId="352F6BD6" w14:textId="77777777" w:rsidTr="001229BC">
        <w:trPr>
          <w:trHeight w:val="288"/>
        </w:trPr>
        <w:tc>
          <w:tcPr>
            <w:tcW w:w="2430" w:type="dxa"/>
            <w:tcBorders>
              <w:top w:val="single" w:sz="4" w:space="0" w:color="auto"/>
              <w:left w:val="nil"/>
              <w:bottom w:val="nil"/>
              <w:right w:val="single" w:sz="4" w:space="0" w:color="auto"/>
            </w:tcBorders>
            <w:vAlign w:val="center"/>
          </w:tcPr>
          <w:p w14:paraId="63C255CC" w14:textId="77777777" w:rsidR="000B39ED" w:rsidRPr="00713929" w:rsidRDefault="000B39ED" w:rsidP="00B9438B">
            <w:pPr>
              <w:spacing w:after="0"/>
              <w:rPr>
                <w:sz w:val="22"/>
              </w:rPr>
            </w:pPr>
            <w:r>
              <w:rPr>
                <w:sz w:val="22"/>
              </w:rPr>
              <w:t>Hospital inpatient</w:t>
            </w:r>
          </w:p>
        </w:tc>
        <w:tc>
          <w:tcPr>
            <w:tcW w:w="1615" w:type="dxa"/>
            <w:tcBorders>
              <w:top w:val="single" w:sz="4" w:space="0" w:color="auto"/>
              <w:left w:val="single" w:sz="4" w:space="0" w:color="auto"/>
              <w:bottom w:val="nil"/>
              <w:right w:val="nil"/>
            </w:tcBorders>
            <w:vAlign w:val="center"/>
          </w:tcPr>
          <w:p w14:paraId="31626EE4" w14:textId="77777777" w:rsidR="000B39ED" w:rsidRPr="00D47DDD" w:rsidRDefault="000B39ED" w:rsidP="00FC7457">
            <w:pPr>
              <w:spacing w:after="0"/>
              <w:jc w:val="right"/>
              <w:rPr>
                <w:rFonts w:eastAsia="Times New Roman"/>
                <w:sz w:val="22"/>
              </w:rPr>
            </w:pPr>
            <w:r>
              <w:rPr>
                <w:rFonts w:eastAsia="Times New Roman"/>
                <w:sz w:val="22"/>
              </w:rPr>
              <w:t>89</w:t>
            </w:r>
          </w:p>
        </w:tc>
        <w:tc>
          <w:tcPr>
            <w:tcW w:w="1080" w:type="dxa"/>
            <w:tcBorders>
              <w:top w:val="single" w:sz="4" w:space="0" w:color="auto"/>
              <w:left w:val="nil"/>
              <w:bottom w:val="nil"/>
              <w:right w:val="nil"/>
            </w:tcBorders>
            <w:vAlign w:val="center"/>
          </w:tcPr>
          <w:p w14:paraId="2844FD5E" w14:textId="77777777" w:rsidR="000B39ED" w:rsidRPr="00D47DDD" w:rsidRDefault="000B39ED" w:rsidP="00FC7457">
            <w:pPr>
              <w:spacing w:after="0"/>
              <w:jc w:val="right"/>
              <w:rPr>
                <w:rFonts w:eastAsia="Times New Roman"/>
                <w:sz w:val="22"/>
              </w:rPr>
            </w:pPr>
          </w:p>
        </w:tc>
        <w:tc>
          <w:tcPr>
            <w:tcW w:w="2520" w:type="dxa"/>
            <w:tcBorders>
              <w:top w:val="single" w:sz="4" w:space="0" w:color="auto"/>
              <w:left w:val="nil"/>
              <w:bottom w:val="nil"/>
              <w:right w:val="nil"/>
            </w:tcBorders>
            <w:vAlign w:val="center"/>
          </w:tcPr>
          <w:p w14:paraId="79B8BF22" w14:textId="6A88E1F4" w:rsidR="000B39ED" w:rsidRPr="00D47DDD" w:rsidRDefault="00FA0023" w:rsidP="00FC7457">
            <w:pPr>
              <w:spacing w:after="0"/>
              <w:jc w:val="right"/>
              <w:rPr>
                <w:rFonts w:eastAsia="Times New Roman"/>
                <w:sz w:val="22"/>
              </w:rPr>
            </w:pPr>
            <w:r>
              <w:rPr>
                <w:rFonts w:eastAsia="Times New Roman"/>
                <w:sz w:val="22"/>
              </w:rPr>
              <w:t>37.08%</w:t>
            </w:r>
          </w:p>
        </w:tc>
        <w:tc>
          <w:tcPr>
            <w:tcW w:w="2160" w:type="dxa"/>
            <w:tcBorders>
              <w:top w:val="single" w:sz="4" w:space="0" w:color="auto"/>
              <w:left w:val="nil"/>
              <w:bottom w:val="nil"/>
              <w:right w:val="nil"/>
            </w:tcBorders>
          </w:tcPr>
          <w:p w14:paraId="3F898033" w14:textId="77777777" w:rsidR="000B39ED" w:rsidRPr="00D47DDD" w:rsidRDefault="000B39ED" w:rsidP="00B907C8">
            <w:pPr>
              <w:spacing w:after="0"/>
              <w:rPr>
                <w:rFonts w:eastAsia="Times New Roman"/>
                <w:sz w:val="22"/>
              </w:rPr>
            </w:pPr>
          </w:p>
        </w:tc>
      </w:tr>
      <w:tr w:rsidR="000B39ED" w:rsidRPr="00D47DDD" w14:paraId="34CB2675" w14:textId="77777777" w:rsidTr="001229BC">
        <w:trPr>
          <w:trHeight w:val="288"/>
        </w:trPr>
        <w:tc>
          <w:tcPr>
            <w:tcW w:w="2430" w:type="dxa"/>
            <w:tcBorders>
              <w:top w:val="nil"/>
              <w:left w:val="nil"/>
              <w:bottom w:val="nil"/>
              <w:right w:val="single" w:sz="4" w:space="0" w:color="auto"/>
            </w:tcBorders>
            <w:vAlign w:val="center"/>
          </w:tcPr>
          <w:p w14:paraId="7748C8B4" w14:textId="77777777" w:rsidR="000B39ED" w:rsidRPr="006C1F99" w:rsidRDefault="000B39ED" w:rsidP="00B9438B">
            <w:pPr>
              <w:spacing w:after="0"/>
              <w:rPr>
                <w:sz w:val="22"/>
              </w:rPr>
            </w:pPr>
            <w:r>
              <w:rPr>
                <w:sz w:val="22"/>
              </w:rPr>
              <w:t>ED/Outpatient</w:t>
            </w:r>
          </w:p>
        </w:tc>
        <w:tc>
          <w:tcPr>
            <w:tcW w:w="1615" w:type="dxa"/>
            <w:tcBorders>
              <w:top w:val="nil"/>
              <w:left w:val="single" w:sz="4" w:space="0" w:color="auto"/>
              <w:bottom w:val="nil"/>
              <w:right w:val="nil"/>
            </w:tcBorders>
            <w:vAlign w:val="center"/>
          </w:tcPr>
          <w:p w14:paraId="3E48AB09" w14:textId="77777777" w:rsidR="000B39ED" w:rsidRPr="00D47DDD" w:rsidRDefault="000B39ED" w:rsidP="00FC7457">
            <w:pPr>
              <w:spacing w:after="0"/>
              <w:jc w:val="right"/>
              <w:rPr>
                <w:rFonts w:eastAsia="Times New Roman"/>
                <w:sz w:val="22"/>
              </w:rPr>
            </w:pPr>
            <w:r>
              <w:rPr>
                <w:rFonts w:eastAsia="Times New Roman"/>
                <w:sz w:val="22"/>
              </w:rPr>
              <w:t>210</w:t>
            </w:r>
          </w:p>
        </w:tc>
        <w:tc>
          <w:tcPr>
            <w:tcW w:w="1080" w:type="dxa"/>
            <w:tcBorders>
              <w:top w:val="nil"/>
              <w:left w:val="nil"/>
              <w:bottom w:val="nil"/>
              <w:right w:val="nil"/>
            </w:tcBorders>
            <w:vAlign w:val="center"/>
          </w:tcPr>
          <w:p w14:paraId="04D645AD" w14:textId="77777777" w:rsidR="000B39ED" w:rsidRPr="00D47DDD" w:rsidRDefault="000B39ED" w:rsidP="00FC7457">
            <w:pPr>
              <w:spacing w:after="0"/>
              <w:jc w:val="right"/>
              <w:rPr>
                <w:rFonts w:eastAsia="Times New Roman"/>
                <w:sz w:val="22"/>
              </w:rPr>
            </w:pPr>
          </w:p>
        </w:tc>
        <w:tc>
          <w:tcPr>
            <w:tcW w:w="2520" w:type="dxa"/>
            <w:tcBorders>
              <w:top w:val="nil"/>
              <w:left w:val="nil"/>
              <w:bottom w:val="nil"/>
              <w:right w:val="nil"/>
            </w:tcBorders>
            <w:vAlign w:val="center"/>
          </w:tcPr>
          <w:p w14:paraId="2B3BA350" w14:textId="120DE244" w:rsidR="000B39ED" w:rsidRPr="00D47DDD" w:rsidRDefault="00FC7457" w:rsidP="00FC7457">
            <w:pPr>
              <w:spacing w:after="0"/>
              <w:jc w:val="right"/>
              <w:rPr>
                <w:rFonts w:eastAsia="Times New Roman"/>
                <w:sz w:val="22"/>
              </w:rPr>
            </w:pPr>
            <w:r>
              <w:rPr>
                <w:rFonts w:eastAsia="Times New Roman"/>
                <w:sz w:val="22"/>
              </w:rPr>
              <w:t>41.90%</w:t>
            </w:r>
          </w:p>
        </w:tc>
        <w:tc>
          <w:tcPr>
            <w:tcW w:w="2160" w:type="dxa"/>
            <w:tcBorders>
              <w:top w:val="nil"/>
              <w:left w:val="nil"/>
              <w:bottom w:val="nil"/>
              <w:right w:val="nil"/>
            </w:tcBorders>
          </w:tcPr>
          <w:p w14:paraId="29F50703" w14:textId="77777777" w:rsidR="000B39ED" w:rsidRPr="00D47DDD" w:rsidRDefault="000B39ED" w:rsidP="00B907C8">
            <w:pPr>
              <w:spacing w:after="0"/>
              <w:jc w:val="center"/>
              <w:rPr>
                <w:rFonts w:eastAsia="Times New Roman"/>
                <w:sz w:val="22"/>
              </w:rPr>
            </w:pPr>
          </w:p>
        </w:tc>
      </w:tr>
      <w:tr w:rsidR="000B39ED" w:rsidRPr="00D47DDD" w14:paraId="5B783782" w14:textId="77777777" w:rsidTr="001229BC">
        <w:trPr>
          <w:trHeight w:val="288"/>
        </w:trPr>
        <w:tc>
          <w:tcPr>
            <w:tcW w:w="2430" w:type="dxa"/>
            <w:tcBorders>
              <w:top w:val="nil"/>
              <w:left w:val="nil"/>
              <w:bottom w:val="nil"/>
              <w:right w:val="single" w:sz="4" w:space="0" w:color="auto"/>
            </w:tcBorders>
            <w:vAlign w:val="center"/>
          </w:tcPr>
          <w:p w14:paraId="708F3356" w14:textId="77777777" w:rsidR="000B39ED" w:rsidRPr="00713929" w:rsidRDefault="000B39ED" w:rsidP="00B9438B">
            <w:pPr>
              <w:spacing w:after="0"/>
              <w:rPr>
                <w:sz w:val="22"/>
              </w:rPr>
            </w:pPr>
            <w:r>
              <w:rPr>
                <w:sz w:val="22"/>
              </w:rPr>
              <w:t>Decedent’s home</w:t>
            </w:r>
          </w:p>
        </w:tc>
        <w:tc>
          <w:tcPr>
            <w:tcW w:w="1615" w:type="dxa"/>
            <w:tcBorders>
              <w:top w:val="nil"/>
              <w:left w:val="single" w:sz="4" w:space="0" w:color="auto"/>
              <w:bottom w:val="nil"/>
              <w:right w:val="nil"/>
            </w:tcBorders>
            <w:vAlign w:val="center"/>
          </w:tcPr>
          <w:p w14:paraId="40B16C78" w14:textId="77777777" w:rsidR="000B39ED" w:rsidRPr="00D47DDD" w:rsidRDefault="000B39ED" w:rsidP="00FC7457">
            <w:pPr>
              <w:spacing w:after="0"/>
              <w:jc w:val="right"/>
              <w:rPr>
                <w:rFonts w:eastAsia="Times New Roman"/>
                <w:sz w:val="22"/>
              </w:rPr>
            </w:pPr>
            <w:r>
              <w:rPr>
                <w:rFonts w:eastAsia="Times New Roman"/>
                <w:sz w:val="22"/>
              </w:rPr>
              <w:t>562</w:t>
            </w:r>
          </w:p>
        </w:tc>
        <w:tc>
          <w:tcPr>
            <w:tcW w:w="1080" w:type="dxa"/>
            <w:tcBorders>
              <w:top w:val="nil"/>
              <w:left w:val="nil"/>
              <w:bottom w:val="nil"/>
              <w:right w:val="nil"/>
            </w:tcBorders>
            <w:vAlign w:val="center"/>
          </w:tcPr>
          <w:p w14:paraId="719B05BE" w14:textId="77777777" w:rsidR="000B39ED" w:rsidRPr="00D47DDD" w:rsidRDefault="000B39ED" w:rsidP="00FC7457">
            <w:pPr>
              <w:spacing w:after="0"/>
              <w:jc w:val="right"/>
              <w:rPr>
                <w:rFonts w:eastAsia="Times New Roman"/>
                <w:sz w:val="22"/>
              </w:rPr>
            </w:pPr>
          </w:p>
        </w:tc>
        <w:tc>
          <w:tcPr>
            <w:tcW w:w="2520" w:type="dxa"/>
            <w:tcBorders>
              <w:top w:val="nil"/>
              <w:left w:val="nil"/>
              <w:bottom w:val="nil"/>
              <w:right w:val="nil"/>
            </w:tcBorders>
            <w:vAlign w:val="center"/>
          </w:tcPr>
          <w:p w14:paraId="6338352B" w14:textId="1B59A6AA" w:rsidR="000B39ED" w:rsidRPr="00D47DDD" w:rsidRDefault="00B9438B" w:rsidP="00FC7457">
            <w:pPr>
              <w:spacing w:after="0"/>
              <w:jc w:val="right"/>
              <w:rPr>
                <w:rFonts w:eastAsia="Times New Roman"/>
                <w:sz w:val="22"/>
              </w:rPr>
            </w:pPr>
            <w:r>
              <w:rPr>
                <w:rFonts w:eastAsia="Times New Roman"/>
                <w:sz w:val="22"/>
              </w:rPr>
              <w:t>4.98%</w:t>
            </w:r>
          </w:p>
        </w:tc>
        <w:tc>
          <w:tcPr>
            <w:tcW w:w="2160" w:type="dxa"/>
            <w:tcBorders>
              <w:top w:val="nil"/>
              <w:left w:val="nil"/>
              <w:bottom w:val="nil"/>
              <w:right w:val="nil"/>
            </w:tcBorders>
          </w:tcPr>
          <w:p w14:paraId="7E5CA93B" w14:textId="77777777" w:rsidR="000B39ED" w:rsidRPr="00D47DDD" w:rsidRDefault="000B39ED" w:rsidP="00B907C8">
            <w:pPr>
              <w:spacing w:after="0"/>
              <w:jc w:val="center"/>
              <w:rPr>
                <w:rFonts w:eastAsia="Times New Roman"/>
                <w:sz w:val="22"/>
              </w:rPr>
            </w:pPr>
          </w:p>
        </w:tc>
      </w:tr>
      <w:tr w:rsidR="000B39ED" w:rsidRPr="00D47DDD" w14:paraId="1A9E1531" w14:textId="77777777" w:rsidTr="001229BC">
        <w:trPr>
          <w:trHeight w:val="288"/>
        </w:trPr>
        <w:tc>
          <w:tcPr>
            <w:tcW w:w="2430" w:type="dxa"/>
            <w:tcBorders>
              <w:top w:val="nil"/>
              <w:left w:val="nil"/>
              <w:bottom w:val="single" w:sz="4" w:space="0" w:color="auto"/>
              <w:right w:val="single" w:sz="4" w:space="0" w:color="auto"/>
            </w:tcBorders>
            <w:vAlign w:val="center"/>
          </w:tcPr>
          <w:p w14:paraId="2DF65683" w14:textId="77777777" w:rsidR="000B39ED" w:rsidRDefault="000B39ED" w:rsidP="00B9438B">
            <w:pPr>
              <w:spacing w:after="0"/>
              <w:rPr>
                <w:sz w:val="22"/>
              </w:rPr>
            </w:pPr>
            <w:r>
              <w:rPr>
                <w:sz w:val="22"/>
              </w:rPr>
              <w:t>Other</w:t>
            </w:r>
          </w:p>
        </w:tc>
        <w:tc>
          <w:tcPr>
            <w:tcW w:w="1615" w:type="dxa"/>
            <w:tcBorders>
              <w:top w:val="nil"/>
              <w:left w:val="single" w:sz="4" w:space="0" w:color="auto"/>
              <w:bottom w:val="single" w:sz="4" w:space="0" w:color="auto"/>
              <w:right w:val="nil"/>
            </w:tcBorders>
            <w:vAlign w:val="center"/>
          </w:tcPr>
          <w:p w14:paraId="5E61A2B9" w14:textId="77777777" w:rsidR="000B39ED" w:rsidRPr="00D47DDD" w:rsidRDefault="000B39ED" w:rsidP="00FC7457">
            <w:pPr>
              <w:spacing w:after="0"/>
              <w:jc w:val="right"/>
              <w:rPr>
                <w:rFonts w:eastAsia="Times New Roman"/>
                <w:sz w:val="22"/>
              </w:rPr>
            </w:pPr>
            <w:r>
              <w:rPr>
                <w:rFonts w:eastAsia="Times New Roman"/>
                <w:sz w:val="22"/>
              </w:rPr>
              <w:t>357</w:t>
            </w:r>
          </w:p>
        </w:tc>
        <w:tc>
          <w:tcPr>
            <w:tcW w:w="1080" w:type="dxa"/>
            <w:tcBorders>
              <w:top w:val="nil"/>
              <w:left w:val="nil"/>
              <w:bottom w:val="single" w:sz="4" w:space="0" w:color="auto"/>
              <w:right w:val="nil"/>
            </w:tcBorders>
            <w:vAlign w:val="center"/>
          </w:tcPr>
          <w:p w14:paraId="62AC89D1" w14:textId="77777777" w:rsidR="000B39ED" w:rsidRPr="00D47DDD" w:rsidRDefault="000B39ED" w:rsidP="00FC7457">
            <w:pPr>
              <w:spacing w:after="0"/>
              <w:jc w:val="right"/>
              <w:rPr>
                <w:rFonts w:eastAsia="Times New Roman"/>
                <w:sz w:val="22"/>
              </w:rPr>
            </w:pPr>
          </w:p>
        </w:tc>
        <w:tc>
          <w:tcPr>
            <w:tcW w:w="2520" w:type="dxa"/>
            <w:tcBorders>
              <w:top w:val="nil"/>
              <w:left w:val="nil"/>
              <w:bottom w:val="single" w:sz="4" w:space="0" w:color="auto"/>
              <w:right w:val="nil"/>
            </w:tcBorders>
            <w:vAlign w:val="center"/>
          </w:tcPr>
          <w:p w14:paraId="10300560" w14:textId="6BF6FE91" w:rsidR="000B39ED" w:rsidRPr="00D47DDD" w:rsidRDefault="00B9438B" w:rsidP="00FC7457">
            <w:pPr>
              <w:spacing w:after="0"/>
              <w:jc w:val="right"/>
              <w:rPr>
                <w:rFonts w:eastAsia="Times New Roman"/>
                <w:sz w:val="22"/>
              </w:rPr>
            </w:pPr>
            <w:r>
              <w:rPr>
                <w:rFonts w:eastAsia="Times New Roman"/>
                <w:sz w:val="22"/>
              </w:rPr>
              <w:t>5.60%</w:t>
            </w:r>
          </w:p>
        </w:tc>
        <w:tc>
          <w:tcPr>
            <w:tcW w:w="2160" w:type="dxa"/>
            <w:tcBorders>
              <w:top w:val="nil"/>
              <w:left w:val="nil"/>
              <w:bottom w:val="single" w:sz="4" w:space="0" w:color="auto"/>
              <w:right w:val="nil"/>
            </w:tcBorders>
          </w:tcPr>
          <w:p w14:paraId="1D4ADD50" w14:textId="77777777" w:rsidR="000B39ED" w:rsidRPr="00D47DDD" w:rsidRDefault="000B39ED" w:rsidP="00B907C8">
            <w:pPr>
              <w:spacing w:after="0"/>
              <w:jc w:val="center"/>
              <w:rPr>
                <w:rFonts w:eastAsia="Times New Roman"/>
                <w:sz w:val="22"/>
              </w:rPr>
            </w:pPr>
          </w:p>
        </w:tc>
      </w:tr>
      <w:tr w:rsidR="000B39ED" w:rsidRPr="008A2D71" w14:paraId="313F35DD" w14:textId="77777777" w:rsidTr="00930EF5">
        <w:trPr>
          <w:trHeight w:val="296"/>
        </w:trPr>
        <w:tc>
          <w:tcPr>
            <w:tcW w:w="9805" w:type="dxa"/>
            <w:gridSpan w:val="5"/>
            <w:tcBorders>
              <w:top w:val="single" w:sz="4" w:space="0" w:color="auto"/>
              <w:left w:val="nil"/>
              <w:bottom w:val="nil"/>
              <w:right w:val="nil"/>
            </w:tcBorders>
            <w:vAlign w:val="center"/>
          </w:tcPr>
          <w:p w14:paraId="5FDA25E7" w14:textId="472E5F85" w:rsidR="000B39ED" w:rsidRPr="00930EF5" w:rsidRDefault="000B39ED" w:rsidP="00B907C8">
            <w:pPr>
              <w:spacing w:after="0"/>
              <w:rPr>
                <w:rFonts w:eastAsia="Times New Roman"/>
                <w:i/>
                <w:sz w:val="18"/>
                <w:szCs w:val="20"/>
              </w:rPr>
            </w:pPr>
            <w:r w:rsidRPr="00930EF5">
              <w:rPr>
                <w:i/>
                <w:sz w:val="18"/>
                <w:szCs w:val="20"/>
              </w:rPr>
              <w:t xml:space="preserve">*Excludes two in hospital inpatient with missing administration values, two at home with missing administration values, and two missing locations where </w:t>
            </w:r>
            <w:r w:rsidR="004F072E">
              <w:rPr>
                <w:i/>
                <w:sz w:val="18"/>
                <w:szCs w:val="20"/>
              </w:rPr>
              <w:t>naloxone</w:t>
            </w:r>
            <w:r w:rsidRPr="00930EF5">
              <w:rPr>
                <w:i/>
                <w:sz w:val="18"/>
                <w:szCs w:val="20"/>
              </w:rPr>
              <w:t xml:space="preserve"> was not administered</w:t>
            </w:r>
          </w:p>
        </w:tc>
      </w:tr>
    </w:tbl>
    <w:p w14:paraId="57415841" w14:textId="77777777" w:rsidR="00F315D4" w:rsidRDefault="00F315D4" w:rsidP="00183A2C">
      <w:pPr>
        <w:pStyle w:val="Heading2"/>
      </w:pPr>
    </w:p>
    <w:p w14:paraId="1885D77D" w14:textId="7A116527" w:rsidR="008D45F3" w:rsidRDefault="00343393" w:rsidP="00183A2C">
      <w:pPr>
        <w:pStyle w:val="Heading2"/>
      </w:pPr>
      <w:bookmarkStart w:id="27" w:name="_Toc17788958"/>
      <w:r>
        <w:lastRenderedPageBreak/>
        <w:t>F</w:t>
      </w:r>
      <w:r w:rsidR="00751ADD">
        <w:t>ATAL OPIOID OVERDOSE RATES</w:t>
      </w:r>
      <w:bookmarkEnd w:id="27"/>
    </w:p>
    <w:p w14:paraId="15153BF1" w14:textId="00E3AAE1" w:rsidR="001B2AE3" w:rsidRDefault="001B2AE3" w:rsidP="00F315D4">
      <w:pPr>
        <w:tabs>
          <w:tab w:val="left" w:pos="720"/>
        </w:tabs>
        <w:spacing w:after="220"/>
        <w:rPr>
          <w:rFonts w:ascii="Times New Roman" w:hAnsi="Times New Roman" w:cs="Times New Roman"/>
        </w:rPr>
      </w:pPr>
      <w:r w:rsidRPr="00F315D4">
        <w:rPr>
          <w:noProof/>
          <w:sz w:val="22"/>
          <w:szCs w:val="22"/>
        </w:rPr>
        <mc:AlternateContent>
          <mc:Choice Requires="wps">
            <w:drawing>
              <wp:anchor distT="45720" distB="45720" distL="114300" distR="114300" simplePos="0" relativeHeight="251656192" behindDoc="0" locked="0" layoutInCell="1" allowOverlap="1" wp14:anchorId="2F92AB9B" wp14:editId="6C9B3526">
                <wp:simplePos x="0" y="0"/>
                <wp:positionH relativeFrom="margin">
                  <wp:align>center</wp:align>
                </wp:positionH>
                <wp:positionV relativeFrom="paragraph">
                  <wp:posOffset>921436</wp:posOffset>
                </wp:positionV>
                <wp:extent cx="5090160" cy="1477645"/>
                <wp:effectExtent l="0" t="0" r="15240" b="273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477645"/>
                        </a:xfrm>
                        <a:prstGeom prst="rect">
                          <a:avLst/>
                        </a:prstGeom>
                        <a:solidFill>
                          <a:srgbClr val="FFFFFF"/>
                        </a:solidFill>
                        <a:ln w="9525">
                          <a:solidFill>
                            <a:srgbClr val="000000"/>
                          </a:solidFill>
                          <a:miter lim="800000"/>
                          <a:headEnd/>
                          <a:tailEnd/>
                        </a:ln>
                      </wps:spPr>
                      <wps:txbx>
                        <w:txbxContent>
                          <w:p w14:paraId="41EEBCC3" w14:textId="77777777" w:rsidR="009A716C" w:rsidRPr="00FC3C27" w:rsidRDefault="009A716C" w:rsidP="003563A7">
                            <w:pPr>
                              <w:tabs>
                                <w:tab w:val="left" w:pos="720"/>
                              </w:tabs>
                              <w:spacing w:after="0"/>
                              <w:jc w:val="center"/>
                              <w:rPr>
                                <w:rFonts w:ascii="Times New Roman" w:hAnsi="Times New Roman" w:cs="Times New Roman"/>
                                <w:color w:val="D6AD00"/>
                                <w:sz w:val="18"/>
                              </w:rPr>
                            </w:pPr>
                          </w:p>
                          <w:p w14:paraId="33F905E2" w14:textId="5551DBAD" w:rsidR="009A716C" w:rsidRPr="003563A7" w:rsidRDefault="009A716C" w:rsidP="003563A7">
                            <w:pPr>
                              <w:tabs>
                                <w:tab w:val="left" w:pos="720"/>
                              </w:tabs>
                              <w:spacing w:after="0"/>
                              <w:jc w:val="center"/>
                              <w:rPr>
                                <w:rFonts w:ascii="Times New Roman" w:hAnsi="Times New Roman" w:cs="Times New Roman"/>
                                <w:sz w:val="28"/>
                              </w:rPr>
                            </w:pPr>
                            <w:r>
                              <w:rPr>
                                <w:rFonts w:ascii="Times New Roman" w:hAnsi="Times New Roman" w:cs="Times New Roman"/>
                                <w:color w:val="D6AD00"/>
                                <w:sz w:val="52"/>
                              </w:rPr>
                              <w:t>1,224 fatal opioid overdoses in Florida’s reporting counties between January and June of 2018</w:t>
                            </w:r>
                          </w:p>
                          <w:p w14:paraId="451B186E" w14:textId="2EE02DDD" w:rsidR="009A716C" w:rsidRDefault="009A716C" w:rsidP="003563A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2AB9B" id="_x0000_s1027" type="#_x0000_t202" style="position:absolute;margin-left:0;margin-top:72.55pt;width:400.8pt;height:116.3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">
                <v:textbox>
                  <w:txbxContent>
                    <w:p w14:paraId="41EEBCC3" w14:textId="77777777" w:rsidR="009A716C" w:rsidRPr="00FC3C27" w:rsidRDefault="009A716C" w:rsidP="003563A7">
                      <w:pPr>
                        <w:tabs>
                          <w:tab w:val="left" w:pos="720"/>
                        </w:tabs>
                        <w:spacing w:after="0"/>
                        <w:jc w:val="center"/>
                        <w:rPr>
                          <w:rFonts w:ascii="Times New Roman" w:hAnsi="Times New Roman" w:cs="Times New Roman"/>
                          <w:color w:val="D6AD00"/>
                          <w:sz w:val="18"/>
                        </w:rPr>
                      </w:pPr>
                    </w:p>
                    <w:p w14:paraId="33F905E2" w14:textId="5551DBAD" w:rsidR="009A716C" w:rsidRPr="003563A7" w:rsidRDefault="009A716C" w:rsidP="003563A7">
                      <w:pPr>
                        <w:tabs>
                          <w:tab w:val="left" w:pos="720"/>
                        </w:tabs>
                        <w:spacing w:after="0"/>
                        <w:jc w:val="center"/>
                        <w:rPr>
                          <w:rFonts w:ascii="Times New Roman" w:hAnsi="Times New Roman" w:cs="Times New Roman"/>
                          <w:sz w:val="28"/>
                        </w:rPr>
                      </w:pPr>
                      <w:r>
                        <w:rPr>
                          <w:rFonts w:ascii="Times New Roman" w:hAnsi="Times New Roman" w:cs="Times New Roman"/>
                          <w:color w:val="D6AD00"/>
                          <w:sz w:val="52"/>
                        </w:rPr>
                        <w:t>1,224 fatal opioid overdoses in Florida’s reporting counties between January and June of 2018</w:t>
                      </w:r>
                    </w:p>
                    <w:p w14:paraId="451B186E" w14:textId="2EE02DDD" w:rsidR="009A716C" w:rsidRDefault="009A716C" w:rsidP="003563A7">
                      <w:pPr>
                        <w:jc w:val="center"/>
                      </w:pPr>
                    </w:p>
                  </w:txbxContent>
                </v:textbox>
                <w10:wrap type="topAndBottom" anchorx="margin"/>
              </v:shape>
            </w:pict>
          </mc:Fallback>
        </mc:AlternateContent>
      </w:r>
      <w:r w:rsidR="003563A7" w:rsidRPr="00F315D4">
        <w:rPr>
          <w:sz w:val="22"/>
          <w:szCs w:val="22"/>
        </w:rPr>
        <w:t>Florida experienced 1,22</w:t>
      </w:r>
      <w:r w:rsidR="00CB642F" w:rsidRPr="00F315D4">
        <w:rPr>
          <w:sz w:val="22"/>
          <w:szCs w:val="22"/>
        </w:rPr>
        <w:t>4</w:t>
      </w:r>
      <w:r w:rsidR="003563A7" w:rsidRPr="00F315D4">
        <w:rPr>
          <w:sz w:val="22"/>
          <w:szCs w:val="22"/>
        </w:rPr>
        <w:t xml:space="preserve"> fatal opioid overdoses in the reporting counties between January and June of 2018. A total of </w:t>
      </w:r>
      <w:r w:rsidR="00C46596" w:rsidRPr="00F315D4">
        <w:rPr>
          <w:sz w:val="22"/>
          <w:szCs w:val="22"/>
        </w:rPr>
        <w:t>8</w:t>
      </w:r>
      <w:r w:rsidR="003563A7" w:rsidRPr="00F315D4">
        <w:rPr>
          <w:sz w:val="22"/>
          <w:szCs w:val="22"/>
        </w:rPr>
        <w:t>.</w:t>
      </w:r>
      <w:r w:rsidR="00C46596" w:rsidRPr="00F315D4">
        <w:rPr>
          <w:sz w:val="22"/>
          <w:szCs w:val="22"/>
        </w:rPr>
        <w:t>28</w:t>
      </w:r>
      <w:r w:rsidR="003563A7" w:rsidRPr="00F315D4">
        <w:rPr>
          <w:sz w:val="22"/>
          <w:szCs w:val="22"/>
        </w:rPr>
        <w:t xml:space="preserve"> per 100,000 individuals</w:t>
      </w:r>
      <w:r w:rsidR="00C46596" w:rsidRPr="00F315D4">
        <w:rPr>
          <w:sz w:val="22"/>
          <w:szCs w:val="22"/>
        </w:rPr>
        <w:t xml:space="preserve"> ages 10 and older</w:t>
      </w:r>
      <w:r w:rsidR="003563A7" w:rsidRPr="00F315D4">
        <w:rPr>
          <w:sz w:val="22"/>
          <w:szCs w:val="22"/>
        </w:rPr>
        <w:t xml:space="preserve"> </w:t>
      </w:r>
      <w:r w:rsidRPr="00F315D4">
        <w:rPr>
          <w:sz w:val="22"/>
          <w:szCs w:val="22"/>
        </w:rPr>
        <w:t>died of opioid overdoses during th</w:t>
      </w:r>
      <w:r w:rsidR="00144295" w:rsidRPr="00F315D4">
        <w:rPr>
          <w:sz w:val="22"/>
          <w:szCs w:val="22"/>
        </w:rPr>
        <w:t>ese six months.</w:t>
      </w:r>
      <w:r w:rsidRPr="00F315D4">
        <w:rPr>
          <w:sz w:val="22"/>
          <w:szCs w:val="22"/>
        </w:rPr>
        <w:t xml:space="preserve"> This section shares fatal opioid overdose count and rates by categories of interest: county, sex, age, education, race/ethnicity, and homelessness.</w:t>
      </w:r>
    </w:p>
    <w:p w14:paraId="5031A775" w14:textId="75AFFFDE" w:rsidR="001B2AE3" w:rsidRDefault="00085EC7" w:rsidP="001B2AE3">
      <w:pPr>
        <w:tabs>
          <w:tab w:val="left" w:pos="720"/>
        </w:tabs>
        <w:spacing w:after="0"/>
        <w:jc w:val="center"/>
        <w:rPr>
          <w:rFonts w:ascii="Times New Roman" w:hAnsi="Times New Roman" w:cs="Times New Roman"/>
        </w:rPr>
      </w:pPr>
      <w:r w:rsidRPr="0005744D">
        <w:rPr>
          <w:rFonts w:ascii="Times New Roman" w:hAnsi="Times New Roman" w:cs="Times New Roman"/>
        </w:rPr>
        <w:tab/>
      </w:r>
    </w:p>
    <w:p w14:paraId="68A66F72" w14:textId="0C38E808" w:rsidR="0090442E" w:rsidRPr="00F315D4" w:rsidRDefault="0090442E" w:rsidP="00F315D4">
      <w:pPr>
        <w:tabs>
          <w:tab w:val="left" w:pos="720"/>
        </w:tabs>
        <w:spacing w:after="220"/>
        <w:rPr>
          <w:sz w:val="22"/>
          <w:szCs w:val="22"/>
        </w:rPr>
      </w:pPr>
      <w:r w:rsidRPr="00F315D4">
        <w:rPr>
          <w:sz w:val="22"/>
          <w:szCs w:val="22"/>
        </w:rPr>
        <w:t xml:space="preserve">Age-adjusted fatal opioid overdose rates in all reporting Florida counties can be found in Table </w:t>
      </w:r>
      <w:r w:rsidR="003323F7" w:rsidRPr="00F315D4">
        <w:rPr>
          <w:sz w:val="22"/>
          <w:szCs w:val="22"/>
        </w:rPr>
        <w:t>9</w:t>
      </w:r>
      <w:r w:rsidRPr="00F315D4">
        <w:rPr>
          <w:sz w:val="22"/>
          <w:szCs w:val="22"/>
        </w:rPr>
        <w:t xml:space="preserve"> and Figure </w:t>
      </w:r>
      <w:r w:rsidR="004B7E1C" w:rsidRPr="00F315D4">
        <w:rPr>
          <w:sz w:val="22"/>
          <w:szCs w:val="22"/>
        </w:rPr>
        <w:t>2</w:t>
      </w:r>
      <w:r w:rsidRPr="00F315D4">
        <w:rPr>
          <w:sz w:val="22"/>
          <w:szCs w:val="22"/>
        </w:rPr>
        <w:t xml:space="preserve">. </w:t>
      </w:r>
      <w:r w:rsidR="009C4138" w:rsidRPr="00F315D4">
        <w:rPr>
          <w:sz w:val="22"/>
          <w:szCs w:val="22"/>
        </w:rPr>
        <w:t>Twelve</w:t>
      </w:r>
      <w:r w:rsidRPr="00F315D4">
        <w:rPr>
          <w:sz w:val="22"/>
          <w:szCs w:val="22"/>
        </w:rPr>
        <w:t xml:space="preserve"> counties experienced </w:t>
      </w:r>
      <w:r w:rsidR="00190FD3" w:rsidRPr="00F315D4">
        <w:rPr>
          <w:sz w:val="22"/>
          <w:szCs w:val="22"/>
        </w:rPr>
        <w:t xml:space="preserve">an age-adjusted </w:t>
      </w:r>
      <w:r w:rsidRPr="00F315D4">
        <w:rPr>
          <w:sz w:val="22"/>
          <w:szCs w:val="22"/>
        </w:rPr>
        <w:t>fatal opioid overdose</w:t>
      </w:r>
      <w:r w:rsidR="00190FD3" w:rsidRPr="00F315D4">
        <w:rPr>
          <w:sz w:val="22"/>
          <w:szCs w:val="22"/>
        </w:rPr>
        <w:t xml:space="preserve"> rate greater than 10</w:t>
      </w:r>
      <w:r w:rsidRPr="00F315D4">
        <w:rPr>
          <w:sz w:val="22"/>
          <w:szCs w:val="22"/>
        </w:rPr>
        <w:t xml:space="preserve"> per 100,00</w:t>
      </w:r>
      <w:r w:rsidR="00190FD3" w:rsidRPr="00F315D4">
        <w:rPr>
          <w:sz w:val="22"/>
          <w:szCs w:val="22"/>
        </w:rPr>
        <w:t>0</w:t>
      </w:r>
      <w:r w:rsidRPr="00F315D4">
        <w:rPr>
          <w:sz w:val="22"/>
          <w:szCs w:val="22"/>
        </w:rPr>
        <w:t>. In descending order, they were Lee, Volusia, Palm Beach, Duval, Putnam, Brevard, Madison, Osceola, Clay</w:t>
      </w:r>
      <w:r w:rsidR="009C4138" w:rsidRPr="00F315D4">
        <w:rPr>
          <w:sz w:val="22"/>
          <w:szCs w:val="22"/>
        </w:rPr>
        <w:t>, Seminole, Orange, and Levy</w:t>
      </w:r>
      <w:r w:rsidRPr="00F315D4">
        <w:rPr>
          <w:sz w:val="22"/>
          <w:szCs w:val="22"/>
        </w:rPr>
        <w:t xml:space="preserve"> counties. Fatal opioid overdose rates </w:t>
      </w:r>
      <w:r w:rsidR="00190FD3" w:rsidRPr="00F315D4">
        <w:rPr>
          <w:sz w:val="22"/>
          <w:szCs w:val="22"/>
        </w:rPr>
        <w:t>in</w:t>
      </w:r>
      <w:r w:rsidRPr="00F315D4">
        <w:rPr>
          <w:sz w:val="22"/>
          <w:szCs w:val="22"/>
        </w:rPr>
        <w:t xml:space="preserve"> counties with low overall counts should be interpreted cautiously as they can drastically change due to small amounts of error</w:t>
      </w:r>
      <w:r w:rsidR="009C4138" w:rsidRPr="00F315D4">
        <w:rPr>
          <w:sz w:val="22"/>
          <w:szCs w:val="22"/>
        </w:rPr>
        <w:t xml:space="preserve"> or underreporting</w:t>
      </w:r>
      <w:r w:rsidRPr="00F315D4">
        <w:rPr>
          <w:sz w:val="22"/>
          <w:szCs w:val="22"/>
        </w:rPr>
        <w:t xml:space="preserve">. </w:t>
      </w:r>
    </w:p>
    <w:p w14:paraId="00D49C93" w14:textId="2F8C17C6" w:rsidR="00FB58E2" w:rsidRPr="00F315D4" w:rsidRDefault="00FB58E2" w:rsidP="00F315D4">
      <w:pPr>
        <w:shd w:val="clear" w:color="auto" w:fill="auto"/>
        <w:tabs>
          <w:tab w:val="clear" w:pos="720"/>
          <w:tab w:val="clear" w:pos="9360"/>
        </w:tabs>
        <w:spacing w:after="220"/>
        <w:rPr>
          <w:rFonts w:eastAsia="Times New Roman"/>
          <w:color w:val="000000"/>
          <w:sz w:val="22"/>
          <w:szCs w:val="22"/>
        </w:rPr>
      </w:pPr>
      <w:r w:rsidRPr="00F315D4">
        <w:rPr>
          <w:sz w:val="22"/>
          <w:szCs w:val="22"/>
        </w:rPr>
        <w:t xml:space="preserve">Fatal opioid overdose rates by age ranges among people ages 10 and older are presented in Figure 3. </w:t>
      </w:r>
      <w:r w:rsidR="00CB642F" w:rsidRPr="00F315D4">
        <w:rPr>
          <w:sz w:val="22"/>
          <w:szCs w:val="22"/>
        </w:rPr>
        <w:t>During these months, p</w:t>
      </w:r>
      <w:r w:rsidRPr="00F315D4">
        <w:rPr>
          <w:sz w:val="22"/>
          <w:szCs w:val="22"/>
        </w:rPr>
        <w:t>eople ages 35</w:t>
      </w:r>
      <w:r w:rsidR="00CB642F" w:rsidRPr="00F315D4">
        <w:rPr>
          <w:sz w:val="22"/>
          <w:szCs w:val="22"/>
        </w:rPr>
        <w:t>–</w:t>
      </w:r>
      <w:r w:rsidRPr="00F315D4">
        <w:rPr>
          <w:sz w:val="22"/>
          <w:szCs w:val="22"/>
        </w:rPr>
        <w:t>44 had the highest death rate of 14.18 deaths per 100,000. Narrowing in more specifically, people a</w:t>
      </w:r>
      <w:r w:rsidR="008B315F" w:rsidRPr="00F315D4">
        <w:rPr>
          <w:sz w:val="22"/>
          <w:szCs w:val="22"/>
        </w:rPr>
        <w:t>ges 35</w:t>
      </w:r>
      <w:r w:rsidR="00CB642F" w:rsidRPr="00F315D4">
        <w:rPr>
          <w:sz w:val="22"/>
          <w:szCs w:val="22"/>
        </w:rPr>
        <w:t>–</w:t>
      </w:r>
      <w:r w:rsidR="008B315F" w:rsidRPr="00F315D4">
        <w:rPr>
          <w:sz w:val="22"/>
          <w:szCs w:val="22"/>
        </w:rPr>
        <w:t>40</w:t>
      </w:r>
      <w:r w:rsidR="00CB642F" w:rsidRPr="00F315D4">
        <w:rPr>
          <w:sz w:val="22"/>
          <w:szCs w:val="22"/>
        </w:rPr>
        <w:t xml:space="preserve"> </w:t>
      </w:r>
      <w:r w:rsidR="008B315F" w:rsidRPr="00F315D4">
        <w:rPr>
          <w:sz w:val="22"/>
          <w:szCs w:val="22"/>
        </w:rPr>
        <w:t xml:space="preserve">had the highest death rate with </w:t>
      </w:r>
      <w:r w:rsidR="008B315F" w:rsidRPr="00F315D4">
        <w:rPr>
          <w:rFonts w:eastAsia="Times New Roman"/>
          <w:color w:val="000000"/>
          <w:sz w:val="22"/>
          <w:szCs w:val="22"/>
        </w:rPr>
        <w:t>17.53 deaths per 100,000.</w:t>
      </w:r>
      <w:r w:rsidRPr="00F315D4">
        <w:rPr>
          <w:rFonts w:eastAsia="Times New Roman"/>
          <w:color w:val="000000"/>
          <w:sz w:val="22"/>
          <w:szCs w:val="22"/>
        </w:rPr>
        <w:t xml:space="preserve"> </w:t>
      </w:r>
    </w:p>
    <w:p w14:paraId="4B42C53B" w14:textId="50639B90" w:rsidR="00FB58E2" w:rsidRPr="00F315D4" w:rsidRDefault="00FB58E2" w:rsidP="00F315D4">
      <w:pPr>
        <w:shd w:val="clear" w:color="auto" w:fill="auto"/>
        <w:tabs>
          <w:tab w:val="clear" w:pos="720"/>
          <w:tab w:val="clear" w:pos="9360"/>
        </w:tabs>
        <w:spacing w:after="220"/>
        <w:rPr>
          <w:sz w:val="22"/>
          <w:szCs w:val="22"/>
        </w:rPr>
      </w:pPr>
      <w:r w:rsidRPr="00F315D4">
        <w:rPr>
          <w:sz w:val="22"/>
          <w:szCs w:val="22"/>
        </w:rPr>
        <w:t>Fatal opioid overdose rates for males and females ages 10 and older are presented in Figure 4.</w:t>
      </w:r>
      <w:r w:rsidR="008B315F" w:rsidRPr="00F315D4">
        <w:rPr>
          <w:sz w:val="22"/>
          <w:szCs w:val="22"/>
        </w:rPr>
        <w:t xml:space="preserve"> </w:t>
      </w:r>
      <w:r w:rsidR="00CB642F" w:rsidRPr="00F315D4">
        <w:rPr>
          <w:sz w:val="22"/>
          <w:szCs w:val="22"/>
        </w:rPr>
        <w:t>During these months, m</w:t>
      </w:r>
      <w:r w:rsidRPr="00F315D4">
        <w:rPr>
          <w:sz w:val="22"/>
          <w:szCs w:val="22"/>
        </w:rPr>
        <w:t>en and women had 11.79 and 4.94 fatal opioid overdoses respectively per 100,000. Men were 2.4 times more likely than women to fatally overdose on opioids.</w:t>
      </w:r>
    </w:p>
    <w:p w14:paraId="20A7DC45" w14:textId="76E50254" w:rsidR="00981C62" w:rsidRPr="00F315D4" w:rsidRDefault="00FB58E2" w:rsidP="00F315D4">
      <w:pPr>
        <w:shd w:val="clear" w:color="auto" w:fill="auto"/>
        <w:tabs>
          <w:tab w:val="clear" w:pos="720"/>
          <w:tab w:val="clear" w:pos="9360"/>
        </w:tabs>
        <w:spacing w:after="220"/>
        <w:rPr>
          <w:sz w:val="22"/>
          <w:szCs w:val="22"/>
        </w:rPr>
      </w:pPr>
      <w:r w:rsidRPr="00F315D4">
        <w:rPr>
          <w:sz w:val="22"/>
          <w:szCs w:val="22"/>
        </w:rPr>
        <w:t>Fatal opioid overdose rates by education groups among people ages 25 and older are presented in Figure 5.</w:t>
      </w:r>
      <w:r w:rsidR="008B315F" w:rsidRPr="00F315D4">
        <w:rPr>
          <w:sz w:val="22"/>
          <w:szCs w:val="22"/>
        </w:rPr>
        <w:t xml:space="preserve"> High school graduates were the most at-risk for fatal opioid overdose</w:t>
      </w:r>
      <w:r w:rsidR="00981C62" w:rsidRPr="00F315D4">
        <w:rPr>
          <w:sz w:val="22"/>
          <w:szCs w:val="22"/>
        </w:rPr>
        <w:t xml:space="preserve"> with 16.64 deaths per 100,000 people ages 25 and older over the six months</w:t>
      </w:r>
      <w:r w:rsidR="008B315F" w:rsidRPr="00F315D4">
        <w:rPr>
          <w:sz w:val="22"/>
          <w:szCs w:val="22"/>
        </w:rPr>
        <w:t>.</w:t>
      </w:r>
      <w:r w:rsidR="00981C62" w:rsidRPr="00F315D4">
        <w:rPr>
          <w:sz w:val="22"/>
          <w:szCs w:val="22"/>
        </w:rPr>
        <w:t xml:space="preserve"> A dose response was observed with more education being related to less risk of fatal opioid overdose. The only exception was those with less than a high school degree </w:t>
      </w:r>
      <w:proofErr w:type="gramStart"/>
      <w:r w:rsidR="00981C62" w:rsidRPr="00F315D4">
        <w:rPr>
          <w:sz w:val="22"/>
          <w:szCs w:val="22"/>
        </w:rPr>
        <w:t>were</w:t>
      </w:r>
      <w:proofErr w:type="gramEnd"/>
      <w:r w:rsidR="00981C62" w:rsidRPr="00F315D4">
        <w:rPr>
          <w:sz w:val="22"/>
          <w:szCs w:val="22"/>
        </w:rPr>
        <w:t xml:space="preserve"> less likely to fatally overdose than those with a high school degree. It is possible that this anomaly is due to more older individuals not having graduated from high school, with older age being related to lower opioid overdose risk.</w:t>
      </w:r>
      <w:r w:rsidR="008B315F" w:rsidRPr="00F315D4">
        <w:rPr>
          <w:sz w:val="22"/>
          <w:szCs w:val="22"/>
        </w:rPr>
        <w:t xml:space="preserve"> </w:t>
      </w:r>
    </w:p>
    <w:p w14:paraId="2F663119" w14:textId="62DE129D" w:rsidR="00981C62" w:rsidRPr="00F315D4" w:rsidRDefault="00981C62" w:rsidP="00F315D4">
      <w:pPr>
        <w:shd w:val="clear" w:color="auto" w:fill="auto"/>
        <w:tabs>
          <w:tab w:val="clear" w:pos="720"/>
          <w:tab w:val="clear" w:pos="9360"/>
        </w:tabs>
        <w:spacing w:after="220"/>
        <w:rPr>
          <w:sz w:val="22"/>
          <w:szCs w:val="22"/>
        </w:rPr>
      </w:pPr>
      <w:r w:rsidRPr="00F315D4">
        <w:rPr>
          <w:sz w:val="22"/>
          <w:szCs w:val="22"/>
        </w:rPr>
        <w:t>Fatal opioid overdose rates by race and ethnicity among people of all ages are presented in Figure 6. Whites were the most at risk of fatal opioid overdose with 10.64 deaths per 100,000 individuals over the six months.</w:t>
      </w:r>
      <w:r w:rsidR="008B315F" w:rsidRPr="00F315D4">
        <w:rPr>
          <w:sz w:val="22"/>
          <w:szCs w:val="22"/>
        </w:rPr>
        <w:t xml:space="preserve"> Whites were 3.4 times more likely than all other race</w:t>
      </w:r>
      <w:r w:rsidRPr="00F315D4">
        <w:rPr>
          <w:sz w:val="22"/>
          <w:szCs w:val="22"/>
        </w:rPr>
        <w:t xml:space="preserve"> and ethnicities</w:t>
      </w:r>
      <w:r w:rsidR="008B315F" w:rsidRPr="00F315D4">
        <w:rPr>
          <w:sz w:val="22"/>
          <w:szCs w:val="22"/>
        </w:rPr>
        <w:t xml:space="preserve"> to experience a fatal opioid overdose.</w:t>
      </w:r>
    </w:p>
    <w:p w14:paraId="7CC25D80" w14:textId="1AA5C644" w:rsidR="008B315F" w:rsidRPr="00F315D4" w:rsidRDefault="008B315F" w:rsidP="00F315D4">
      <w:pPr>
        <w:shd w:val="clear" w:color="auto" w:fill="auto"/>
        <w:tabs>
          <w:tab w:val="clear" w:pos="720"/>
          <w:tab w:val="clear" w:pos="9360"/>
        </w:tabs>
        <w:spacing w:after="220"/>
        <w:rPr>
          <w:sz w:val="22"/>
          <w:szCs w:val="22"/>
        </w:rPr>
      </w:pPr>
      <w:r w:rsidRPr="00F315D4">
        <w:rPr>
          <w:sz w:val="22"/>
          <w:szCs w:val="22"/>
        </w:rPr>
        <w:t>A very small percentage of Florida residents are estimated to be homeless. It is estimated that 0.31</w:t>
      </w:r>
      <w:r w:rsidR="009E7C2A">
        <w:rPr>
          <w:sz w:val="22"/>
          <w:szCs w:val="22"/>
        </w:rPr>
        <w:t xml:space="preserve"> percent</w:t>
      </w:r>
      <w:r w:rsidRPr="00F315D4">
        <w:rPr>
          <w:sz w:val="22"/>
          <w:szCs w:val="22"/>
        </w:rPr>
        <w:t xml:space="preserve"> of Florida residents were homeless in the first six months of 2016, or 47,887 individuals.</w:t>
      </w:r>
      <w:r w:rsidR="000C4591" w:rsidRPr="00F315D4">
        <w:rPr>
          <w:sz w:val="22"/>
          <w:szCs w:val="22"/>
        </w:rPr>
        <w:t xml:space="preserve"> </w:t>
      </w:r>
      <w:r w:rsidRPr="00F315D4">
        <w:rPr>
          <w:sz w:val="22"/>
          <w:szCs w:val="22"/>
        </w:rPr>
        <w:t xml:space="preserve">However, this group has a much larger risk of fatal opioid overdose. Homeless individuals were 34.42 times more likely to experience a fatal opioid overdose compared to non-homeless individuals. This estimate is sensitive to missing values given the small number of homeless individuals; however, it is likely safe to say that homeless individuals are over 10 times more likely </w:t>
      </w:r>
      <w:r w:rsidR="00467127" w:rsidRPr="00F315D4">
        <w:rPr>
          <w:sz w:val="22"/>
          <w:szCs w:val="22"/>
        </w:rPr>
        <w:t xml:space="preserve">to fatally overdose </w:t>
      </w:r>
      <w:r w:rsidR="00E34EBD" w:rsidRPr="00F315D4">
        <w:rPr>
          <w:sz w:val="22"/>
          <w:szCs w:val="22"/>
        </w:rPr>
        <w:t xml:space="preserve">on opioids </w:t>
      </w:r>
      <w:r w:rsidRPr="00F315D4">
        <w:rPr>
          <w:sz w:val="22"/>
          <w:szCs w:val="22"/>
        </w:rPr>
        <w:t>than non-homeless individuals.</w:t>
      </w:r>
    </w:p>
    <w:p w14:paraId="5A50C61E" w14:textId="77777777" w:rsidR="008B315F" w:rsidRPr="0005744D" w:rsidRDefault="008B315F" w:rsidP="008B315F">
      <w:pPr>
        <w:shd w:val="clear" w:color="auto" w:fill="auto"/>
        <w:tabs>
          <w:tab w:val="clear" w:pos="720"/>
          <w:tab w:val="clear" w:pos="9360"/>
        </w:tabs>
        <w:spacing w:after="0"/>
        <w:rPr>
          <w:rFonts w:ascii="Times New Roman" w:eastAsia="Times New Roman" w:hAnsi="Times New Roman" w:cs="Times New Roman"/>
          <w:color w:val="000000"/>
        </w:rPr>
      </w:pPr>
    </w:p>
    <w:tbl>
      <w:tblPr>
        <w:tblStyle w:val="TableGrid"/>
        <w:tblW w:w="10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628"/>
        <w:gridCol w:w="236"/>
        <w:gridCol w:w="767"/>
        <w:gridCol w:w="323"/>
        <w:gridCol w:w="884"/>
        <w:gridCol w:w="625"/>
        <w:gridCol w:w="1464"/>
        <w:gridCol w:w="744"/>
        <w:gridCol w:w="240"/>
        <w:gridCol w:w="767"/>
        <w:gridCol w:w="248"/>
        <w:gridCol w:w="1159"/>
        <w:gridCol w:w="556"/>
      </w:tblGrid>
      <w:tr w:rsidR="0090442E" w:rsidRPr="00BC401D" w14:paraId="4720EEF6" w14:textId="77777777" w:rsidTr="003A187A">
        <w:trPr>
          <w:trHeight w:val="360"/>
        </w:trPr>
        <w:tc>
          <w:tcPr>
            <w:tcW w:w="10080" w:type="dxa"/>
            <w:gridSpan w:val="14"/>
            <w:tcBorders>
              <w:bottom w:val="single" w:sz="36" w:space="0" w:color="auto"/>
            </w:tcBorders>
          </w:tcPr>
          <w:p w14:paraId="540E640B" w14:textId="2F3FF2A2" w:rsidR="0090442E" w:rsidRPr="00BC401D" w:rsidRDefault="0090442E" w:rsidP="00B907C8">
            <w:pPr>
              <w:spacing w:after="120"/>
              <w:rPr>
                <w:b/>
              </w:rPr>
            </w:pPr>
            <w:r w:rsidRPr="00BC401D">
              <w:rPr>
                <w:b/>
              </w:rPr>
              <w:t xml:space="preserve">Table </w:t>
            </w:r>
            <w:r w:rsidR="00A424E5">
              <w:rPr>
                <w:b/>
              </w:rPr>
              <w:t>9</w:t>
            </w:r>
            <w:r w:rsidRPr="00BC401D">
              <w:rPr>
                <w:b/>
              </w:rPr>
              <w:t xml:space="preserve">: </w:t>
            </w:r>
            <w:r>
              <w:rPr>
                <w:b/>
              </w:rPr>
              <w:t>Fatal Opioid Overdose Rate</w:t>
            </w:r>
            <w:r w:rsidR="00E0704C">
              <w:rPr>
                <w:b/>
              </w:rPr>
              <w:t>s Per 100,000 People Ages 10</w:t>
            </w:r>
            <w:r w:rsidR="003A187A">
              <w:rPr>
                <w:b/>
              </w:rPr>
              <w:t>+</w:t>
            </w:r>
            <w:r w:rsidR="00E0704C">
              <w:rPr>
                <w:b/>
              </w:rPr>
              <w:t xml:space="preserve"> </w:t>
            </w:r>
            <w:r w:rsidR="002D1F4E">
              <w:rPr>
                <w:b/>
              </w:rPr>
              <w:t>by County</w:t>
            </w:r>
            <w:r>
              <w:rPr>
                <w:b/>
              </w:rPr>
              <w:t xml:space="preserve"> </w:t>
            </w:r>
          </w:p>
        </w:tc>
      </w:tr>
      <w:tr w:rsidR="00011786" w:rsidRPr="00D47DDD" w14:paraId="262B1E20" w14:textId="77777777" w:rsidTr="00321E99">
        <w:trPr>
          <w:trHeight w:val="360"/>
        </w:trPr>
        <w:tc>
          <w:tcPr>
            <w:tcW w:w="1439" w:type="dxa"/>
            <w:tcBorders>
              <w:top w:val="single" w:sz="36" w:space="0" w:color="auto"/>
              <w:left w:val="nil"/>
              <w:bottom w:val="single" w:sz="4" w:space="0" w:color="auto"/>
              <w:right w:val="nil"/>
            </w:tcBorders>
            <w:vAlign w:val="center"/>
          </w:tcPr>
          <w:p w14:paraId="557C1B99" w14:textId="77777777" w:rsidR="004E2B94" w:rsidRPr="00011786" w:rsidRDefault="004E2B94" w:rsidP="00011786">
            <w:pPr>
              <w:spacing w:after="0"/>
              <w:jc w:val="center"/>
              <w:rPr>
                <w:b/>
                <w:i/>
                <w:sz w:val="22"/>
                <w:szCs w:val="22"/>
              </w:rPr>
            </w:pPr>
            <w:r w:rsidRPr="00011786">
              <w:rPr>
                <w:b/>
                <w:i/>
                <w:sz w:val="22"/>
                <w:szCs w:val="22"/>
              </w:rPr>
              <w:t>County</w:t>
            </w:r>
          </w:p>
        </w:tc>
        <w:tc>
          <w:tcPr>
            <w:tcW w:w="864" w:type="dxa"/>
            <w:gridSpan w:val="2"/>
            <w:tcBorders>
              <w:top w:val="single" w:sz="36" w:space="0" w:color="auto"/>
              <w:left w:val="nil"/>
              <w:bottom w:val="single" w:sz="4" w:space="0" w:color="auto"/>
              <w:right w:val="nil"/>
            </w:tcBorders>
            <w:vAlign w:val="center"/>
          </w:tcPr>
          <w:p w14:paraId="153B9A52" w14:textId="77777777"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Count</w:t>
            </w:r>
          </w:p>
        </w:tc>
        <w:tc>
          <w:tcPr>
            <w:tcW w:w="767" w:type="dxa"/>
            <w:tcBorders>
              <w:top w:val="single" w:sz="36" w:space="0" w:color="auto"/>
              <w:left w:val="nil"/>
              <w:bottom w:val="single" w:sz="4" w:space="0" w:color="auto"/>
              <w:right w:val="nil"/>
            </w:tcBorders>
            <w:vAlign w:val="center"/>
          </w:tcPr>
          <w:p w14:paraId="5517D036" w14:textId="7FDCBE51"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Raw</w:t>
            </w:r>
          </w:p>
        </w:tc>
        <w:tc>
          <w:tcPr>
            <w:tcW w:w="1832" w:type="dxa"/>
            <w:gridSpan w:val="3"/>
            <w:tcBorders>
              <w:top w:val="single" w:sz="36" w:space="0" w:color="auto"/>
              <w:left w:val="nil"/>
              <w:bottom w:val="single" w:sz="4" w:space="0" w:color="auto"/>
              <w:right w:val="single" w:sz="4" w:space="0" w:color="auto"/>
            </w:tcBorders>
            <w:vAlign w:val="center"/>
          </w:tcPr>
          <w:p w14:paraId="2A9BF82F" w14:textId="0EF330D9"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Age-Adjusted</w:t>
            </w:r>
          </w:p>
        </w:tc>
        <w:tc>
          <w:tcPr>
            <w:tcW w:w="1464" w:type="dxa"/>
            <w:tcBorders>
              <w:top w:val="single" w:sz="36" w:space="0" w:color="auto"/>
              <w:left w:val="single" w:sz="4" w:space="0" w:color="auto"/>
              <w:bottom w:val="single" w:sz="4" w:space="0" w:color="auto"/>
              <w:right w:val="nil"/>
            </w:tcBorders>
            <w:vAlign w:val="center"/>
          </w:tcPr>
          <w:p w14:paraId="3C8CE5FC" w14:textId="77777777"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County</w:t>
            </w:r>
          </w:p>
        </w:tc>
        <w:tc>
          <w:tcPr>
            <w:tcW w:w="984" w:type="dxa"/>
            <w:gridSpan w:val="2"/>
            <w:tcBorders>
              <w:top w:val="single" w:sz="36" w:space="0" w:color="auto"/>
              <w:left w:val="nil"/>
              <w:bottom w:val="single" w:sz="4" w:space="0" w:color="auto"/>
              <w:right w:val="nil"/>
            </w:tcBorders>
            <w:vAlign w:val="center"/>
          </w:tcPr>
          <w:p w14:paraId="045FD642" w14:textId="77777777"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Count</w:t>
            </w:r>
          </w:p>
        </w:tc>
        <w:tc>
          <w:tcPr>
            <w:tcW w:w="1015" w:type="dxa"/>
            <w:gridSpan w:val="2"/>
            <w:tcBorders>
              <w:top w:val="single" w:sz="36" w:space="0" w:color="auto"/>
              <w:left w:val="nil"/>
              <w:bottom w:val="single" w:sz="4" w:space="0" w:color="auto"/>
              <w:right w:val="nil"/>
            </w:tcBorders>
            <w:vAlign w:val="center"/>
          </w:tcPr>
          <w:p w14:paraId="60F76170" w14:textId="5A74B683"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Raw</w:t>
            </w:r>
          </w:p>
        </w:tc>
        <w:tc>
          <w:tcPr>
            <w:tcW w:w="1715" w:type="dxa"/>
            <w:gridSpan w:val="2"/>
            <w:tcBorders>
              <w:top w:val="single" w:sz="36" w:space="0" w:color="auto"/>
              <w:left w:val="nil"/>
              <w:bottom w:val="single" w:sz="4" w:space="0" w:color="auto"/>
              <w:right w:val="nil"/>
            </w:tcBorders>
            <w:vAlign w:val="center"/>
          </w:tcPr>
          <w:p w14:paraId="6BAB500E" w14:textId="52F43F2E"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Age-Adjusted</w:t>
            </w:r>
          </w:p>
        </w:tc>
      </w:tr>
      <w:tr w:rsidR="00011786" w:rsidRPr="004E2B94" w14:paraId="7818C6EF" w14:textId="77777777" w:rsidTr="00E15B47">
        <w:trPr>
          <w:trHeight w:val="288"/>
        </w:trPr>
        <w:tc>
          <w:tcPr>
            <w:tcW w:w="1439" w:type="dxa"/>
            <w:tcBorders>
              <w:top w:val="single" w:sz="4" w:space="0" w:color="auto"/>
              <w:left w:val="nil"/>
              <w:bottom w:val="nil"/>
              <w:right w:val="nil"/>
            </w:tcBorders>
            <w:vAlign w:val="center"/>
          </w:tcPr>
          <w:p w14:paraId="5F2F80F9" w14:textId="77777777" w:rsidR="00D067DF" w:rsidRPr="00011786" w:rsidRDefault="00D067DF" w:rsidP="00011786">
            <w:pPr>
              <w:spacing w:after="0"/>
              <w:rPr>
                <w:i/>
                <w:sz w:val="22"/>
                <w:szCs w:val="22"/>
              </w:rPr>
            </w:pPr>
            <w:r w:rsidRPr="00011786">
              <w:rPr>
                <w:color w:val="000000"/>
                <w:sz w:val="22"/>
                <w:szCs w:val="22"/>
              </w:rPr>
              <w:t>Alachua</w:t>
            </w:r>
          </w:p>
        </w:tc>
        <w:tc>
          <w:tcPr>
            <w:tcW w:w="628" w:type="dxa"/>
            <w:tcBorders>
              <w:top w:val="single" w:sz="4" w:space="0" w:color="auto"/>
              <w:left w:val="nil"/>
              <w:bottom w:val="nil"/>
              <w:right w:val="nil"/>
            </w:tcBorders>
            <w:vAlign w:val="center"/>
          </w:tcPr>
          <w:p w14:paraId="3C73B802" w14:textId="77777777" w:rsidR="00D067DF" w:rsidRPr="00011786" w:rsidRDefault="00D067DF" w:rsidP="00E15B47">
            <w:pPr>
              <w:spacing w:after="0"/>
              <w:jc w:val="right"/>
              <w:rPr>
                <w:color w:val="000000"/>
                <w:sz w:val="22"/>
                <w:szCs w:val="22"/>
              </w:rPr>
            </w:pPr>
            <w:r w:rsidRPr="00011786">
              <w:rPr>
                <w:color w:val="000000"/>
                <w:sz w:val="22"/>
                <w:szCs w:val="22"/>
              </w:rPr>
              <w:t>6</w:t>
            </w:r>
          </w:p>
        </w:tc>
        <w:tc>
          <w:tcPr>
            <w:tcW w:w="236" w:type="dxa"/>
            <w:tcBorders>
              <w:top w:val="single" w:sz="4" w:space="0" w:color="auto"/>
              <w:left w:val="nil"/>
              <w:bottom w:val="nil"/>
              <w:right w:val="nil"/>
            </w:tcBorders>
            <w:vAlign w:val="center"/>
          </w:tcPr>
          <w:p w14:paraId="3E66FF9D" w14:textId="77777777" w:rsidR="00D067DF" w:rsidRPr="00011786" w:rsidRDefault="00D067DF" w:rsidP="00E15B47">
            <w:pPr>
              <w:spacing w:after="0"/>
              <w:jc w:val="right"/>
              <w:rPr>
                <w:color w:val="000000"/>
                <w:sz w:val="22"/>
                <w:szCs w:val="22"/>
              </w:rPr>
            </w:pPr>
          </w:p>
        </w:tc>
        <w:tc>
          <w:tcPr>
            <w:tcW w:w="767" w:type="dxa"/>
            <w:tcBorders>
              <w:top w:val="single" w:sz="4" w:space="0" w:color="auto"/>
              <w:left w:val="nil"/>
              <w:bottom w:val="nil"/>
              <w:right w:val="nil"/>
            </w:tcBorders>
            <w:vAlign w:val="center"/>
          </w:tcPr>
          <w:p w14:paraId="1069108A" w14:textId="5623AF81" w:rsidR="00D067DF" w:rsidRPr="00011786" w:rsidRDefault="00D067DF" w:rsidP="00E15B47">
            <w:pPr>
              <w:spacing w:after="0"/>
              <w:jc w:val="right"/>
              <w:rPr>
                <w:rFonts w:eastAsia="Times New Roman"/>
                <w:sz w:val="22"/>
                <w:szCs w:val="22"/>
              </w:rPr>
            </w:pPr>
            <w:r w:rsidRPr="00011786">
              <w:rPr>
                <w:color w:val="000000"/>
                <w:sz w:val="22"/>
                <w:szCs w:val="22"/>
              </w:rPr>
              <w:t>2.58</w:t>
            </w:r>
          </w:p>
        </w:tc>
        <w:tc>
          <w:tcPr>
            <w:tcW w:w="323" w:type="dxa"/>
            <w:tcBorders>
              <w:top w:val="single" w:sz="4" w:space="0" w:color="auto"/>
              <w:left w:val="nil"/>
              <w:bottom w:val="nil"/>
              <w:right w:val="nil"/>
            </w:tcBorders>
            <w:vAlign w:val="center"/>
          </w:tcPr>
          <w:p w14:paraId="187D6296" w14:textId="77777777" w:rsidR="00D067DF" w:rsidRPr="00011786" w:rsidRDefault="00D067DF" w:rsidP="00E15B47">
            <w:pPr>
              <w:spacing w:after="0"/>
              <w:jc w:val="right"/>
              <w:rPr>
                <w:rFonts w:eastAsia="Times New Roman"/>
                <w:sz w:val="22"/>
                <w:szCs w:val="22"/>
              </w:rPr>
            </w:pPr>
          </w:p>
        </w:tc>
        <w:tc>
          <w:tcPr>
            <w:tcW w:w="884" w:type="dxa"/>
            <w:tcBorders>
              <w:top w:val="single" w:sz="4" w:space="0" w:color="auto"/>
              <w:left w:val="nil"/>
              <w:bottom w:val="nil"/>
              <w:right w:val="nil"/>
            </w:tcBorders>
            <w:vAlign w:val="center"/>
          </w:tcPr>
          <w:p w14:paraId="1D3BE38C" w14:textId="7C27274F" w:rsidR="00D067DF" w:rsidRPr="00011786" w:rsidRDefault="00D067DF" w:rsidP="00E15B47">
            <w:pPr>
              <w:spacing w:after="0"/>
              <w:jc w:val="right"/>
              <w:rPr>
                <w:rFonts w:eastAsia="Times New Roman"/>
                <w:sz w:val="22"/>
                <w:szCs w:val="22"/>
              </w:rPr>
            </w:pPr>
            <w:r w:rsidRPr="00011786">
              <w:rPr>
                <w:color w:val="000000"/>
                <w:sz w:val="22"/>
                <w:szCs w:val="22"/>
              </w:rPr>
              <w:t>2.56</w:t>
            </w:r>
          </w:p>
        </w:tc>
        <w:tc>
          <w:tcPr>
            <w:tcW w:w="625" w:type="dxa"/>
            <w:tcBorders>
              <w:top w:val="single" w:sz="4" w:space="0" w:color="auto"/>
              <w:left w:val="nil"/>
              <w:bottom w:val="nil"/>
              <w:right w:val="single" w:sz="4" w:space="0" w:color="auto"/>
            </w:tcBorders>
            <w:vAlign w:val="center"/>
          </w:tcPr>
          <w:p w14:paraId="29AC4431" w14:textId="00E2D120" w:rsidR="00D067DF" w:rsidRPr="00011786" w:rsidRDefault="00D067DF" w:rsidP="00D067DF">
            <w:pPr>
              <w:spacing w:after="0"/>
              <w:jc w:val="right"/>
              <w:rPr>
                <w:rFonts w:eastAsia="Times New Roman"/>
                <w:sz w:val="22"/>
                <w:szCs w:val="22"/>
              </w:rPr>
            </w:pPr>
          </w:p>
        </w:tc>
        <w:tc>
          <w:tcPr>
            <w:tcW w:w="1464" w:type="dxa"/>
            <w:tcBorders>
              <w:top w:val="single" w:sz="4" w:space="0" w:color="auto"/>
              <w:left w:val="single" w:sz="4" w:space="0" w:color="auto"/>
              <w:bottom w:val="nil"/>
              <w:right w:val="nil"/>
            </w:tcBorders>
            <w:vAlign w:val="center"/>
          </w:tcPr>
          <w:p w14:paraId="50C0DF45" w14:textId="77777777" w:rsidR="00D067DF" w:rsidRPr="00011786" w:rsidRDefault="00D067DF" w:rsidP="00011786">
            <w:pPr>
              <w:spacing w:after="0"/>
              <w:rPr>
                <w:rFonts w:eastAsia="Times New Roman"/>
                <w:sz w:val="22"/>
                <w:szCs w:val="22"/>
              </w:rPr>
            </w:pPr>
            <w:r w:rsidRPr="00011786">
              <w:rPr>
                <w:color w:val="000000"/>
                <w:sz w:val="22"/>
                <w:szCs w:val="22"/>
              </w:rPr>
              <w:t>Lee</w:t>
            </w:r>
          </w:p>
        </w:tc>
        <w:tc>
          <w:tcPr>
            <w:tcW w:w="744" w:type="dxa"/>
            <w:tcBorders>
              <w:top w:val="single" w:sz="4" w:space="0" w:color="auto"/>
              <w:left w:val="nil"/>
              <w:bottom w:val="nil"/>
              <w:right w:val="nil"/>
            </w:tcBorders>
            <w:vAlign w:val="center"/>
          </w:tcPr>
          <w:p w14:paraId="1242413F" w14:textId="77777777" w:rsidR="00D067DF" w:rsidRPr="00011786" w:rsidRDefault="00D067DF" w:rsidP="00011786">
            <w:pPr>
              <w:spacing w:after="0"/>
              <w:jc w:val="right"/>
              <w:rPr>
                <w:color w:val="000000"/>
                <w:sz w:val="22"/>
                <w:szCs w:val="22"/>
              </w:rPr>
            </w:pPr>
            <w:r w:rsidRPr="00011786">
              <w:rPr>
                <w:color w:val="000000"/>
                <w:sz w:val="22"/>
                <w:szCs w:val="22"/>
              </w:rPr>
              <w:t>102</w:t>
            </w:r>
          </w:p>
        </w:tc>
        <w:tc>
          <w:tcPr>
            <w:tcW w:w="240" w:type="dxa"/>
            <w:tcBorders>
              <w:top w:val="single" w:sz="4" w:space="0" w:color="auto"/>
              <w:left w:val="nil"/>
              <w:bottom w:val="nil"/>
              <w:right w:val="nil"/>
            </w:tcBorders>
            <w:vAlign w:val="center"/>
          </w:tcPr>
          <w:p w14:paraId="12CDC5F0" w14:textId="77777777" w:rsidR="00D067DF" w:rsidRPr="00011786" w:rsidRDefault="00D067DF" w:rsidP="00011786">
            <w:pPr>
              <w:spacing w:after="0"/>
              <w:jc w:val="right"/>
              <w:rPr>
                <w:color w:val="000000"/>
                <w:sz w:val="22"/>
                <w:szCs w:val="22"/>
              </w:rPr>
            </w:pPr>
          </w:p>
        </w:tc>
        <w:tc>
          <w:tcPr>
            <w:tcW w:w="767" w:type="dxa"/>
            <w:tcBorders>
              <w:top w:val="single" w:sz="4" w:space="0" w:color="auto"/>
              <w:left w:val="nil"/>
              <w:bottom w:val="nil"/>
              <w:right w:val="nil"/>
            </w:tcBorders>
            <w:vAlign w:val="center"/>
          </w:tcPr>
          <w:p w14:paraId="167ED15A" w14:textId="069CAC28" w:rsidR="00D067DF" w:rsidRPr="00011786" w:rsidRDefault="00D067DF" w:rsidP="00011786">
            <w:pPr>
              <w:spacing w:after="0"/>
              <w:jc w:val="right"/>
              <w:rPr>
                <w:rFonts w:eastAsia="Times New Roman"/>
                <w:sz w:val="22"/>
                <w:szCs w:val="22"/>
              </w:rPr>
            </w:pPr>
            <w:r w:rsidRPr="00011786">
              <w:rPr>
                <w:color w:val="000000"/>
                <w:sz w:val="22"/>
                <w:szCs w:val="22"/>
              </w:rPr>
              <w:t>16.1</w:t>
            </w:r>
            <w:r w:rsidR="00FD7DA6" w:rsidRPr="00011786">
              <w:rPr>
                <w:color w:val="000000"/>
                <w:sz w:val="22"/>
                <w:szCs w:val="22"/>
              </w:rPr>
              <w:t>6</w:t>
            </w:r>
          </w:p>
        </w:tc>
        <w:tc>
          <w:tcPr>
            <w:tcW w:w="248" w:type="dxa"/>
            <w:tcBorders>
              <w:top w:val="single" w:sz="4" w:space="0" w:color="auto"/>
              <w:left w:val="nil"/>
              <w:bottom w:val="nil"/>
              <w:right w:val="nil"/>
            </w:tcBorders>
            <w:vAlign w:val="center"/>
          </w:tcPr>
          <w:p w14:paraId="2DDF82E5" w14:textId="77777777" w:rsidR="00D067DF" w:rsidRPr="00011786" w:rsidRDefault="00D067DF" w:rsidP="00011786">
            <w:pPr>
              <w:spacing w:after="0"/>
              <w:jc w:val="right"/>
              <w:rPr>
                <w:rFonts w:eastAsia="Times New Roman"/>
                <w:sz w:val="22"/>
                <w:szCs w:val="22"/>
              </w:rPr>
            </w:pPr>
          </w:p>
        </w:tc>
        <w:tc>
          <w:tcPr>
            <w:tcW w:w="1159" w:type="dxa"/>
            <w:tcBorders>
              <w:top w:val="single" w:sz="4" w:space="0" w:color="auto"/>
              <w:left w:val="nil"/>
              <w:bottom w:val="nil"/>
              <w:right w:val="nil"/>
            </w:tcBorders>
            <w:vAlign w:val="center"/>
          </w:tcPr>
          <w:p w14:paraId="7B2F3691" w14:textId="12332354" w:rsidR="00D067DF" w:rsidRPr="00011786" w:rsidRDefault="00D067DF" w:rsidP="00011786">
            <w:pPr>
              <w:spacing w:after="0"/>
              <w:jc w:val="right"/>
              <w:rPr>
                <w:rFonts w:eastAsia="Times New Roman"/>
                <w:sz w:val="22"/>
                <w:szCs w:val="22"/>
              </w:rPr>
            </w:pPr>
            <w:r w:rsidRPr="00011786">
              <w:rPr>
                <w:color w:val="000000"/>
                <w:sz w:val="22"/>
                <w:szCs w:val="22"/>
              </w:rPr>
              <w:t>18.70</w:t>
            </w:r>
          </w:p>
        </w:tc>
        <w:tc>
          <w:tcPr>
            <w:tcW w:w="556" w:type="dxa"/>
            <w:tcBorders>
              <w:top w:val="single" w:sz="4" w:space="0" w:color="auto"/>
              <w:left w:val="nil"/>
              <w:bottom w:val="nil"/>
              <w:right w:val="nil"/>
            </w:tcBorders>
            <w:vAlign w:val="center"/>
          </w:tcPr>
          <w:p w14:paraId="5D4D4339" w14:textId="77777777" w:rsidR="00D067DF" w:rsidRPr="00011786" w:rsidRDefault="00D067DF" w:rsidP="00011786">
            <w:pPr>
              <w:spacing w:after="0"/>
              <w:jc w:val="right"/>
              <w:rPr>
                <w:rFonts w:eastAsia="Times New Roman"/>
                <w:sz w:val="22"/>
                <w:szCs w:val="22"/>
              </w:rPr>
            </w:pPr>
          </w:p>
        </w:tc>
      </w:tr>
      <w:tr w:rsidR="00011786" w:rsidRPr="004E2B94" w14:paraId="3FDE73C3" w14:textId="77777777" w:rsidTr="00E15B47">
        <w:trPr>
          <w:trHeight w:val="288"/>
        </w:trPr>
        <w:tc>
          <w:tcPr>
            <w:tcW w:w="1439" w:type="dxa"/>
            <w:tcBorders>
              <w:top w:val="nil"/>
              <w:left w:val="nil"/>
              <w:bottom w:val="nil"/>
              <w:right w:val="nil"/>
            </w:tcBorders>
            <w:vAlign w:val="center"/>
          </w:tcPr>
          <w:p w14:paraId="6994A7DF" w14:textId="77777777" w:rsidR="00D067DF" w:rsidRPr="00011786" w:rsidRDefault="00D067DF" w:rsidP="00011786">
            <w:pPr>
              <w:spacing w:after="0"/>
              <w:rPr>
                <w:i/>
                <w:sz w:val="22"/>
                <w:szCs w:val="22"/>
              </w:rPr>
            </w:pPr>
            <w:r w:rsidRPr="00011786">
              <w:rPr>
                <w:color w:val="000000"/>
                <w:sz w:val="22"/>
                <w:szCs w:val="22"/>
              </w:rPr>
              <w:t>Baker</w:t>
            </w:r>
          </w:p>
        </w:tc>
        <w:tc>
          <w:tcPr>
            <w:tcW w:w="628" w:type="dxa"/>
            <w:tcBorders>
              <w:top w:val="nil"/>
              <w:left w:val="nil"/>
              <w:bottom w:val="nil"/>
              <w:right w:val="nil"/>
            </w:tcBorders>
            <w:vAlign w:val="center"/>
          </w:tcPr>
          <w:p w14:paraId="06F90955"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1AE7A3E6"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438773DD" w14:textId="345476D1" w:rsidR="00D067DF" w:rsidRPr="00011786" w:rsidRDefault="0001178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1CFE61FD"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6601D7FC" w14:textId="051BFB9D"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3E74BFCD" w14:textId="19D1B44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FEEDF23" w14:textId="77777777" w:rsidR="00D067DF" w:rsidRPr="00011786" w:rsidRDefault="00D067DF" w:rsidP="00011786">
            <w:pPr>
              <w:spacing w:after="0"/>
              <w:rPr>
                <w:rFonts w:eastAsia="Times New Roman"/>
                <w:sz w:val="22"/>
                <w:szCs w:val="22"/>
              </w:rPr>
            </w:pPr>
            <w:r w:rsidRPr="00011786">
              <w:rPr>
                <w:color w:val="000000"/>
                <w:sz w:val="22"/>
                <w:szCs w:val="22"/>
              </w:rPr>
              <w:t>Leon</w:t>
            </w:r>
          </w:p>
        </w:tc>
        <w:tc>
          <w:tcPr>
            <w:tcW w:w="744" w:type="dxa"/>
            <w:tcBorders>
              <w:top w:val="nil"/>
              <w:left w:val="nil"/>
              <w:bottom w:val="nil"/>
              <w:right w:val="nil"/>
            </w:tcBorders>
            <w:vAlign w:val="center"/>
          </w:tcPr>
          <w:p w14:paraId="29F2F604" w14:textId="77777777" w:rsidR="00D067DF" w:rsidRPr="00011786" w:rsidRDefault="00D067DF" w:rsidP="00011786">
            <w:pPr>
              <w:spacing w:after="0"/>
              <w:jc w:val="right"/>
              <w:rPr>
                <w:color w:val="000000"/>
                <w:sz w:val="22"/>
                <w:szCs w:val="22"/>
              </w:rPr>
            </w:pPr>
            <w:r w:rsidRPr="00011786">
              <w:rPr>
                <w:color w:val="000000"/>
                <w:sz w:val="22"/>
                <w:szCs w:val="22"/>
              </w:rPr>
              <w:t>7</w:t>
            </w:r>
          </w:p>
        </w:tc>
        <w:tc>
          <w:tcPr>
            <w:tcW w:w="240" w:type="dxa"/>
            <w:tcBorders>
              <w:top w:val="nil"/>
              <w:left w:val="nil"/>
              <w:bottom w:val="nil"/>
              <w:right w:val="nil"/>
            </w:tcBorders>
            <w:vAlign w:val="center"/>
          </w:tcPr>
          <w:p w14:paraId="68D4C90C"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53392927" w14:textId="1457AF3A" w:rsidR="00D067DF" w:rsidRPr="00011786" w:rsidRDefault="00D067DF" w:rsidP="00011786">
            <w:pPr>
              <w:spacing w:after="0"/>
              <w:jc w:val="right"/>
              <w:rPr>
                <w:rFonts w:eastAsia="Times New Roman"/>
                <w:sz w:val="22"/>
                <w:szCs w:val="22"/>
              </w:rPr>
            </w:pPr>
            <w:r w:rsidRPr="00011786">
              <w:rPr>
                <w:color w:val="000000"/>
                <w:sz w:val="22"/>
                <w:szCs w:val="22"/>
              </w:rPr>
              <w:t>2.73</w:t>
            </w:r>
          </w:p>
        </w:tc>
        <w:tc>
          <w:tcPr>
            <w:tcW w:w="248" w:type="dxa"/>
            <w:tcBorders>
              <w:top w:val="nil"/>
              <w:left w:val="nil"/>
              <w:bottom w:val="nil"/>
              <w:right w:val="nil"/>
            </w:tcBorders>
            <w:vAlign w:val="center"/>
          </w:tcPr>
          <w:p w14:paraId="100D1920"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4631CA25" w14:textId="4EDF0A95" w:rsidR="00D067DF" w:rsidRPr="00011786" w:rsidRDefault="00D067DF" w:rsidP="00011786">
            <w:pPr>
              <w:spacing w:after="0"/>
              <w:jc w:val="right"/>
              <w:rPr>
                <w:rFonts w:eastAsia="Times New Roman"/>
                <w:sz w:val="22"/>
                <w:szCs w:val="22"/>
              </w:rPr>
            </w:pPr>
            <w:r w:rsidRPr="00011786">
              <w:rPr>
                <w:color w:val="000000"/>
                <w:sz w:val="22"/>
                <w:szCs w:val="22"/>
              </w:rPr>
              <w:t>2.94</w:t>
            </w:r>
          </w:p>
        </w:tc>
        <w:tc>
          <w:tcPr>
            <w:tcW w:w="556" w:type="dxa"/>
            <w:tcBorders>
              <w:top w:val="nil"/>
              <w:left w:val="nil"/>
              <w:bottom w:val="nil"/>
              <w:right w:val="nil"/>
            </w:tcBorders>
            <w:vAlign w:val="center"/>
          </w:tcPr>
          <w:p w14:paraId="7F24BFC9" w14:textId="77777777" w:rsidR="00D067DF" w:rsidRPr="00011786" w:rsidRDefault="00D067DF" w:rsidP="00011786">
            <w:pPr>
              <w:spacing w:after="0"/>
              <w:jc w:val="right"/>
              <w:rPr>
                <w:rFonts w:eastAsia="Times New Roman"/>
                <w:sz w:val="22"/>
                <w:szCs w:val="22"/>
              </w:rPr>
            </w:pPr>
          </w:p>
        </w:tc>
      </w:tr>
      <w:tr w:rsidR="00011786" w:rsidRPr="004E2B94" w14:paraId="6328745E" w14:textId="77777777" w:rsidTr="00E15B47">
        <w:trPr>
          <w:trHeight w:val="288"/>
        </w:trPr>
        <w:tc>
          <w:tcPr>
            <w:tcW w:w="1439" w:type="dxa"/>
            <w:tcBorders>
              <w:top w:val="nil"/>
              <w:left w:val="nil"/>
              <w:bottom w:val="nil"/>
              <w:right w:val="nil"/>
            </w:tcBorders>
            <w:vAlign w:val="center"/>
          </w:tcPr>
          <w:p w14:paraId="540BCF7D" w14:textId="77777777" w:rsidR="00D067DF" w:rsidRPr="00011786" w:rsidRDefault="00D067DF" w:rsidP="00011786">
            <w:pPr>
              <w:spacing w:after="0"/>
              <w:rPr>
                <w:sz w:val="22"/>
                <w:szCs w:val="22"/>
              </w:rPr>
            </w:pPr>
            <w:r w:rsidRPr="00011786">
              <w:rPr>
                <w:color w:val="000000"/>
                <w:sz w:val="22"/>
                <w:szCs w:val="22"/>
              </w:rPr>
              <w:t>Bay</w:t>
            </w:r>
          </w:p>
        </w:tc>
        <w:tc>
          <w:tcPr>
            <w:tcW w:w="628" w:type="dxa"/>
            <w:tcBorders>
              <w:top w:val="nil"/>
              <w:left w:val="nil"/>
              <w:bottom w:val="nil"/>
              <w:right w:val="nil"/>
            </w:tcBorders>
            <w:vAlign w:val="center"/>
          </w:tcPr>
          <w:p w14:paraId="6423CB78" w14:textId="77777777" w:rsidR="00D067DF" w:rsidRPr="00011786" w:rsidRDefault="00D067DF" w:rsidP="00E15B47">
            <w:pPr>
              <w:spacing w:after="0"/>
              <w:jc w:val="right"/>
              <w:rPr>
                <w:color w:val="000000"/>
                <w:sz w:val="22"/>
                <w:szCs w:val="22"/>
              </w:rPr>
            </w:pPr>
            <w:r w:rsidRPr="00011786">
              <w:rPr>
                <w:color w:val="000000"/>
                <w:sz w:val="22"/>
                <w:szCs w:val="22"/>
              </w:rPr>
              <w:t>6</w:t>
            </w:r>
          </w:p>
        </w:tc>
        <w:tc>
          <w:tcPr>
            <w:tcW w:w="236" w:type="dxa"/>
            <w:tcBorders>
              <w:top w:val="nil"/>
              <w:left w:val="nil"/>
              <w:bottom w:val="nil"/>
              <w:right w:val="nil"/>
            </w:tcBorders>
            <w:vAlign w:val="center"/>
          </w:tcPr>
          <w:p w14:paraId="4C41AB5C"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0E57D06D" w14:textId="39BDDA19" w:rsidR="00D067DF" w:rsidRPr="00011786" w:rsidRDefault="00D067DF" w:rsidP="00E15B47">
            <w:pPr>
              <w:spacing w:after="0"/>
              <w:jc w:val="right"/>
              <w:rPr>
                <w:rFonts w:eastAsia="Times New Roman"/>
                <w:sz w:val="22"/>
                <w:szCs w:val="22"/>
              </w:rPr>
            </w:pPr>
            <w:r w:rsidRPr="00011786">
              <w:rPr>
                <w:color w:val="000000"/>
                <w:sz w:val="22"/>
                <w:szCs w:val="22"/>
              </w:rPr>
              <w:t>3.80</w:t>
            </w:r>
          </w:p>
        </w:tc>
        <w:tc>
          <w:tcPr>
            <w:tcW w:w="323" w:type="dxa"/>
            <w:tcBorders>
              <w:top w:val="nil"/>
              <w:left w:val="nil"/>
              <w:bottom w:val="nil"/>
              <w:right w:val="nil"/>
            </w:tcBorders>
            <w:vAlign w:val="center"/>
          </w:tcPr>
          <w:p w14:paraId="23A1914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085047BD" w14:textId="1D905788" w:rsidR="00D067DF" w:rsidRPr="00011786" w:rsidRDefault="00D067DF" w:rsidP="00E15B47">
            <w:pPr>
              <w:spacing w:after="0"/>
              <w:jc w:val="right"/>
              <w:rPr>
                <w:rFonts w:eastAsia="Times New Roman"/>
                <w:sz w:val="22"/>
                <w:szCs w:val="22"/>
              </w:rPr>
            </w:pPr>
            <w:r w:rsidRPr="00011786">
              <w:rPr>
                <w:color w:val="000000"/>
                <w:sz w:val="22"/>
                <w:szCs w:val="22"/>
              </w:rPr>
              <w:t>3.72</w:t>
            </w:r>
          </w:p>
        </w:tc>
        <w:tc>
          <w:tcPr>
            <w:tcW w:w="625" w:type="dxa"/>
            <w:tcBorders>
              <w:top w:val="nil"/>
              <w:left w:val="nil"/>
              <w:bottom w:val="nil"/>
              <w:right w:val="single" w:sz="4" w:space="0" w:color="auto"/>
            </w:tcBorders>
            <w:vAlign w:val="center"/>
          </w:tcPr>
          <w:p w14:paraId="59E39D91" w14:textId="415CE3F2"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0C20B7D1" w14:textId="77777777" w:rsidR="00D067DF" w:rsidRPr="00011786" w:rsidRDefault="00D067DF" w:rsidP="00011786">
            <w:pPr>
              <w:spacing w:after="0"/>
              <w:rPr>
                <w:rFonts w:eastAsia="Times New Roman"/>
                <w:sz w:val="22"/>
                <w:szCs w:val="22"/>
              </w:rPr>
            </w:pPr>
            <w:r w:rsidRPr="00011786">
              <w:rPr>
                <w:color w:val="000000"/>
                <w:sz w:val="22"/>
                <w:szCs w:val="22"/>
              </w:rPr>
              <w:t>Levy</w:t>
            </w:r>
          </w:p>
        </w:tc>
        <w:tc>
          <w:tcPr>
            <w:tcW w:w="744" w:type="dxa"/>
            <w:tcBorders>
              <w:top w:val="nil"/>
              <w:left w:val="nil"/>
              <w:bottom w:val="nil"/>
              <w:right w:val="nil"/>
            </w:tcBorders>
            <w:vAlign w:val="center"/>
          </w:tcPr>
          <w:p w14:paraId="5E38953B" w14:textId="77777777" w:rsidR="00D067DF" w:rsidRPr="00011786" w:rsidRDefault="00D067DF" w:rsidP="00011786">
            <w:pPr>
              <w:spacing w:after="0"/>
              <w:jc w:val="right"/>
              <w:rPr>
                <w:color w:val="000000"/>
                <w:sz w:val="22"/>
                <w:szCs w:val="22"/>
              </w:rPr>
            </w:pPr>
            <w:r w:rsidRPr="00011786">
              <w:rPr>
                <w:color w:val="000000"/>
                <w:sz w:val="22"/>
                <w:szCs w:val="22"/>
              </w:rPr>
              <w:t>3</w:t>
            </w:r>
          </w:p>
        </w:tc>
        <w:tc>
          <w:tcPr>
            <w:tcW w:w="240" w:type="dxa"/>
            <w:tcBorders>
              <w:top w:val="nil"/>
              <w:left w:val="nil"/>
              <w:bottom w:val="nil"/>
              <w:right w:val="nil"/>
            </w:tcBorders>
            <w:vAlign w:val="center"/>
          </w:tcPr>
          <w:p w14:paraId="3BC1DD23"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044CD8B7" w14:textId="7529EA6B" w:rsidR="00D067DF" w:rsidRPr="00011786" w:rsidRDefault="00D067DF" w:rsidP="00011786">
            <w:pPr>
              <w:spacing w:after="0"/>
              <w:jc w:val="right"/>
              <w:rPr>
                <w:rFonts w:eastAsia="Times New Roman"/>
                <w:sz w:val="22"/>
                <w:szCs w:val="22"/>
              </w:rPr>
            </w:pPr>
            <w:r w:rsidRPr="00011786">
              <w:rPr>
                <w:color w:val="000000"/>
                <w:sz w:val="22"/>
                <w:szCs w:val="22"/>
              </w:rPr>
              <w:t>8.52</w:t>
            </w:r>
          </w:p>
        </w:tc>
        <w:tc>
          <w:tcPr>
            <w:tcW w:w="248" w:type="dxa"/>
            <w:tcBorders>
              <w:top w:val="nil"/>
              <w:left w:val="nil"/>
              <w:bottom w:val="nil"/>
              <w:right w:val="nil"/>
            </w:tcBorders>
            <w:vAlign w:val="center"/>
          </w:tcPr>
          <w:p w14:paraId="11133313"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174D665A" w14:textId="5DA5D164" w:rsidR="00D067DF" w:rsidRPr="00011786" w:rsidRDefault="00D067DF" w:rsidP="00011786">
            <w:pPr>
              <w:spacing w:after="0"/>
              <w:jc w:val="right"/>
              <w:rPr>
                <w:rFonts w:eastAsia="Times New Roman"/>
                <w:sz w:val="22"/>
                <w:szCs w:val="22"/>
              </w:rPr>
            </w:pPr>
            <w:r w:rsidRPr="00011786">
              <w:rPr>
                <w:color w:val="000000"/>
                <w:sz w:val="22"/>
                <w:szCs w:val="22"/>
              </w:rPr>
              <w:t>10.43</w:t>
            </w:r>
          </w:p>
        </w:tc>
        <w:tc>
          <w:tcPr>
            <w:tcW w:w="556" w:type="dxa"/>
            <w:tcBorders>
              <w:top w:val="nil"/>
              <w:left w:val="nil"/>
              <w:bottom w:val="nil"/>
              <w:right w:val="nil"/>
            </w:tcBorders>
            <w:vAlign w:val="center"/>
          </w:tcPr>
          <w:p w14:paraId="0F5C4DFC" w14:textId="77777777" w:rsidR="00D067DF" w:rsidRPr="00011786" w:rsidRDefault="00D067DF" w:rsidP="00011786">
            <w:pPr>
              <w:spacing w:after="0"/>
              <w:jc w:val="right"/>
              <w:rPr>
                <w:rFonts w:eastAsia="Times New Roman"/>
                <w:sz w:val="22"/>
                <w:szCs w:val="22"/>
              </w:rPr>
            </w:pPr>
          </w:p>
        </w:tc>
      </w:tr>
      <w:tr w:rsidR="00011786" w:rsidRPr="004E2B94" w14:paraId="032FADC6" w14:textId="77777777" w:rsidTr="00E15B47">
        <w:trPr>
          <w:trHeight w:val="288"/>
        </w:trPr>
        <w:tc>
          <w:tcPr>
            <w:tcW w:w="1439" w:type="dxa"/>
            <w:tcBorders>
              <w:top w:val="nil"/>
              <w:left w:val="nil"/>
              <w:bottom w:val="nil"/>
              <w:right w:val="nil"/>
            </w:tcBorders>
            <w:vAlign w:val="center"/>
          </w:tcPr>
          <w:p w14:paraId="2205205A" w14:textId="77777777" w:rsidR="00D067DF" w:rsidRPr="00011786" w:rsidRDefault="00D067DF" w:rsidP="00011786">
            <w:pPr>
              <w:spacing w:after="0"/>
              <w:rPr>
                <w:i/>
                <w:color w:val="FFFFFF" w:themeColor="background1"/>
                <w:sz w:val="22"/>
                <w:szCs w:val="22"/>
              </w:rPr>
            </w:pPr>
            <w:r w:rsidRPr="00011786">
              <w:rPr>
                <w:color w:val="000000"/>
                <w:sz w:val="22"/>
                <w:szCs w:val="22"/>
              </w:rPr>
              <w:t>Bradford</w:t>
            </w:r>
          </w:p>
        </w:tc>
        <w:tc>
          <w:tcPr>
            <w:tcW w:w="628" w:type="dxa"/>
            <w:tcBorders>
              <w:top w:val="nil"/>
              <w:left w:val="nil"/>
              <w:bottom w:val="nil"/>
              <w:right w:val="nil"/>
            </w:tcBorders>
            <w:vAlign w:val="center"/>
          </w:tcPr>
          <w:p w14:paraId="39B6ED3E"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39B8477A"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D9AF8FF" w14:textId="52EF8ADC" w:rsidR="00D067DF" w:rsidRPr="00011786" w:rsidRDefault="0001178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262F1FD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78E67394" w14:textId="457AB74D"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6D4F3B21" w14:textId="1EAE779A"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39C61CB" w14:textId="77777777" w:rsidR="00D067DF" w:rsidRPr="00011786" w:rsidRDefault="00D067DF" w:rsidP="00011786">
            <w:pPr>
              <w:spacing w:after="0"/>
              <w:rPr>
                <w:rFonts w:eastAsia="Times New Roman"/>
                <w:sz w:val="22"/>
                <w:szCs w:val="22"/>
              </w:rPr>
            </w:pPr>
            <w:r w:rsidRPr="00011786">
              <w:rPr>
                <w:color w:val="000000"/>
                <w:sz w:val="22"/>
                <w:szCs w:val="22"/>
              </w:rPr>
              <w:t>Liberty</w:t>
            </w:r>
          </w:p>
        </w:tc>
        <w:tc>
          <w:tcPr>
            <w:tcW w:w="744" w:type="dxa"/>
            <w:tcBorders>
              <w:top w:val="nil"/>
              <w:left w:val="nil"/>
              <w:bottom w:val="nil"/>
              <w:right w:val="nil"/>
            </w:tcBorders>
            <w:vAlign w:val="center"/>
          </w:tcPr>
          <w:p w14:paraId="71606583"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40" w:type="dxa"/>
            <w:tcBorders>
              <w:top w:val="nil"/>
              <w:left w:val="nil"/>
              <w:bottom w:val="nil"/>
              <w:right w:val="nil"/>
            </w:tcBorders>
            <w:vAlign w:val="center"/>
          </w:tcPr>
          <w:p w14:paraId="1A233858"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104CCFD3" w14:textId="622771A6" w:rsidR="00D067DF" w:rsidRPr="00011786" w:rsidRDefault="00D067DF" w:rsidP="00011786">
            <w:pPr>
              <w:spacing w:after="0"/>
              <w:jc w:val="right"/>
              <w:rPr>
                <w:rFonts w:eastAsia="Times New Roman"/>
                <w:sz w:val="22"/>
                <w:szCs w:val="22"/>
              </w:rPr>
            </w:pPr>
            <w:r w:rsidRPr="00011786">
              <w:rPr>
                <w:color w:val="000000"/>
                <w:sz w:val="22"/>
                <w:szCs w:val="22"/>
              </w:rPr>
              <w:t>0</w:t>
            </w:r>
            <w:r w:rsidR="00FD7DA6" w:rsidRPr="00011786">
              <w:rPr>
                <w:color w:val="000000"/>
                <w:sz w:val="22"/>
                <w:szCs w:val="22"/>
              </w:rPr>
              <w:t>.00</w:t>
            </w:r>
          </w:p>
        </w:tc>
        <w:tc>
          <w:tcPr>
            <w:tcW w:w="248" w:type="dxa"/>
            <w:tcBorders>
              <w:top w:val="nil"/>
              <w:left w:val="nil"/>
              <w:bottom w:val="nil"/>
              <w:right w:val="nil"/>
            </w:tcBorders>
            <w:vAlign w:val="center"/>
          </w:tcPr>
          <w:p w14:paraId="71AE363E"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54355538" w14:textId="3D5ECC4F"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556" w:type="dxa"/>
            <w:tcBorders>
              <w:top w:val="nil"/>
              <w:left w:val="nil"/>
              <w:bottom w:val="nil"/>
              <w:right w:val="nil"/>
            </w:tcBorders>
            <w:vAlign w:val="center"/>
          </w:tcPr>
          <w:p w14:paraId="1D13299A" w14:textId="77777777" w:rsidR="00D067DF" w:rsidRPr="00011786" w:rsidRDefault="00D067DF" w:rsidP="00011786">
            <w:pPr>
              <w:spacing w:after="0"/>
              <w:jc w:val="right"/>
              <w:rPr>
                <w:rFonts w:eastAsia="Times New Roman"/>
                <w:sz w:val="22"/>
                <w:szCs w:val="22"/>
              </w:rPr>
            </w:pPr>
          </w:p>
        </w:tc>
      </w:tr>
      <w:tr w:rsidR="00011786" w:rsidRPr="004E2B94" w14:paraId="31C41EE2" w14:textId="77777777" w:rsidTr="00E15B47">
        <w:trPr>
          <w:trHeight w:val="288"/>
        </w:trPr>
        <w:tc>
          <w:tcPr>
            <w:tcW w:w="1439" w:type="dxa"/>
            <w:tcBorders>
              <w:top w:val="nil"/>
              <w:left w:val="nil"/>
              <w:bottom w:val="nil"/>
              <w:right w:val="nil"/>
            </w:tcBorders>
            <w:vAlign w:val="center"/>
          </w:tcPr>
          <w:p w14:paraId="572A3A94" w14:textId="77777777" w:rsidR="00D067DF" w:rsidRPr="00011786" w:rsidRDefault="00D067DF" w:rsidP="00011786">
            <w:pPr>
              <w:spacing w:after="0"/>
              <w:rPr>
                <w:i/>
                <w:sz w:val="22"/>
                <w:szCs w:val="22"/>
              </w:rPr>
            </w:pPr>
            <w:r w:rsidRPr="00011786">
              <w:rPr>
                <w:color w:val="000000"/>
                <w:sz w:val="22"/>
                <w:szCs w:val="22"/>
              </w:rPr>
              <w:t>Brevard</w:t>
            </w:r>
          </w:p>
        </w:tc>
        <w:tc>
          <w:tcPr>
            <w:tcW w:w="628" w:type="dxa"/>
            <w:tcBorders>
              <w:top w:val="nil"/>
              <w:left w:val="nil"/>
              <w:bottom w:val="nil"/>
              <w:right w:val="nil"/>
            </w:tcBorders>
            <w:vAlign w:val="center"/>
          </w:tcPr>
          <w:p w14:paraId="0A161BB5" w14:textId="77777777" w:rsidR="00D067DF" w:rsidRPr="00011786" w:rsidRDefault="00D067DF" w:rsidP="00E15B47">
            <w:pPr>
              <w:spacing w:after="0"/>
              <w:jc w:val="right"/>
              <w:rPr>
                <w:color w:val="000000"/>
                <w:sz w:val="22"/>
                <w:szCs w:val="22"/>
              </w:rPr>
            </w:pPr>
            <w:r w:rsidRPr="00011786">
              <w:rPr>
                <w:color w:val="000000"/>
                <w:sz w:val="22"/>
                <w:szCs w:val="22"/>
              </w:rPr>
              <w:t>63</w:t>
            </w:r>
          </w:p>
        </w:tc>
        <w:tc>
          <w:tcPr>
            <w:tcW w:w="236" w:type="dxa"/>
            <w:tcBorders>
              <w:top w:val="nil"/>
              <w:left w:val="nil"/>
              <w:bottom w:val="nil"/>
              <w:right w:val="nil"/>
            </w:tcBorders>
            <w:vAlign w:val="center"/>
          </w:tcPr>
          <w:p w14:paraId="0D31B45E"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46E123CF" w14:textId="71983D65" w:rsidR="00D067DF" w:rsidRPr="00011786" w:rsidRDefault="00D067DF" w:rsidP="00E15B47">
            <w:pPr>
              <w:spacing w:after="0"/>
              <w:jc w:val="right"/>
              <w:rPr>
                <w:rFonts w:eastAsia="Times New Roman"/>
                <w:sz w:val="22"/>
                <w:szCs w:val="22"/>
              </w:rPr>
            </w:pPr>
            <w:r w:rsidRPr="00011786">
              <w:rPr>
                <w:color w:val="000000"/>
                <w:sz w:val="22"/>
                <w:szCs w:val="22"/>
              </w:rPr>
              <w:t>12.27</w:t>
            </w:r>
          </w:p>
        </w:tc>
        <w:tc>
          <w:tcPr>
            <w:tcW w:w="323" w:type="dxa"/>
            <w:tcBorders>
              <w:top w:val="nil"/>
              <w:left w:val="nil"/>
              <w:bottom w:val="nil"/>
              <w:right w:val="nil"/>
            </w:tcBorders>
            <w:vAlign w:val="center"/>
          </w:tcPr>
          <w:p w14:paraId="110958A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2E9BE906" w14:textId="0FD6D5F9" w:rsidR="00D067DF" w:rsidRPr="00011786" w:rsidRDefault="00D067DF" w:rsidP="00E15B47">
            <w:pPr>
              <w:spacing w:after="0"/>
              <w:jc w:val="right"/>
              <w:rPr>
                <w:rFonts w:eastAsia="Times New Roman"/>
                <w:sz w:val="22"/>
                <w:szCs w:val="22"/>
              </w:rPr>
            </w:pPr>
            <w:r w:rsidRPr="00011786">
              <w:rPr>
                <w:color w:val="000000"/>
                <w:sz w:val="22"/>
                <w:szCs w:val="22"/>
              </w:rPr>
              <w:t>13.19</w:t>
            </w:r>
          </w:p>
        </w:tc>
        <w:tc>
          <w:tcPr>
            <w:tcW w:w="625" w:type="dxa"/>
            <w:tcBorders>
              <w:top w:val="nil"/>
              <w:left w:val="nil"/>
              <w:bottom w:val="nil"/>
              <w:right w:val="single" w:sz="4" w:space="0" w:color="auto"/>
            </w:tcBorders>
            <w:vAlign w:val="center"/>
          </w:tcPr>
          <w:p w14:paraId="462795BD" w14:textId="54A675FD"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7A84FD2" w14:textId="77777777" w:rsidR="00D067DF" w:rsidRPr="00011786" w:rsidRDefault="00D067DF" w:rsidP="00011786">
            <w:pPr>
              <w:spacing w:after="0"/>
              <w:rPr>
                <w:rFonts w:eastAsia="Times New Roman"/>
                <w:sz w:val="22"/>
                <w:szCs w:val="22"/>
              </w:rPr>
            </w:pPr>
            <w:r w:rsidRPr="00011786">
              <w:rPr>
                <w:color w:val="000000"/>
                <w:sz w:val="22"/>
                <w:szCs w:val="22"/>
              </w:rPr>
              <w:t>Madison</w:t>
            </w:r>
          </w:p>
        </w:tc>
        <w:tc>
          <w:tcPr>
            <w:tcW w:w="744" w:type="dxa"/>
            <w:tcBorders>
              <w:top w:val="nil"/>
              <w:left w:val="nil"/>
              <w:bottom w:val="nil"/>
              <w:right w:val="nil"/>
            </w:tcBorders>
            <w:vAlign w:val="center"/>
          </w:tcPr>
          <w:p w14:paraId="0F0B152B" w14:textId="77777777" w:rsidR="00D067DF" w:rsidRPr="00011786" w:rsidRDefault="00D067DF" w:rsidP="00011786">
            <w:pPr>
              <w:spacing w:after="0"/>
              <w:jc w:val="right"/>
              <w:rPr>
                <w:color w:val="000000"/>
                <w:sz w:val="22"/>
                <w:szCs w:val="22"/>
              </w:rPr>
            </w:pPr>
            <w:r w:rsidRPr="00011786">
              <w:rPr>
                <w:color w:val="000000"/>
                <w:sz w:val="22"/>
                <w:szCs w:val="22"/>
              </w:rPr>
              <w:t>2</w:t>
            </w:r>
          </w:p>
        </w:tc>
        <w:tc>
          <w:tcPr>
            <w:tcW w:w="240" w:type="dxa"/>
            <w:tcBorders>
              <w:top w:val="nil"/>
              <w:left w:val="nil"/>
              <w:bottom w:val="nil"/>
              <w:right w:val="nil"/>
            </w:tcBorders>
            <w:vAlign w:val="center"/>
          </w:tcPr>
          <w:p w14:paraId="3737B90F"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4BF31141" w14:textId="6F166930" w:rsidR="00D067DF" w:rsidRPr="00011786" w:rsidRDefault="00D067DF" w:rsidP="00011786">
            <w:pPr>
              <w:spacing w:after="0"/>
              <w:jc w:val="right"/>
              <w:rPr>
                <w:rFonts w:eastAsia="Times New Roman"/>
                <w:sz w:val="22"/>
                <w:szCs w:val="22"/>
              </w:rPr>
            </w:pPr>
            <w:r w:rsidRPr="00011786">
              <w:rPr>
                <w:color w:val="000000"/>
                <w:sz w:val="22"/>
                <w:szCs w:val="22"/>
              </w:rPr>
              <w:t>12.16</w:t>
            </w:r>
          </w:p>
        </w:tc>
        <w:tc>
          <w:tcPr>
            <w:tcW w:w="248" w:type="dxa"/>
            <w:tcBorders>
              <w:top w:val="nil"/>
              <w:left w:val="nil"/>
              <w:bottom w:val="nil"/>
              <w:right w:val="nil"/>
            </w:tcBorders>
            <w:vAlign w:val="center"/>
          </w:tcPr>
          <w:p w14:paraId="311689E5"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6FC35541" w14:textId="78D0CA83" w:rsidR="00D067DF" w:rsidRPr="00011786" w:rsidRDefault="00D067DF" w:rsidP="00011786">
            <w:pPr>
              <w:spacing w:after="0"/>
              <w:jc w:val="right"/>
              <w:rPr>
                <w:rFonts w:eastAsia="Times New Roman"/>
                <w:sz w:val="22"/>
                <w:szCs w:val="22"/>
              </w:rPr>
            </w:pPr>
            <w:r w:rsidRPr="00011786">
              <w:rPr>
                <w:color w:val="000000"/>
                <w:sz w:val="22"/>
                <w:szCs w:val="22"/>
              </w:rPr>
              <w:t>12.42</w:t>
            </w:r>
          </w:p>
        </w:tc>
        <w:tc>
          <w:tcPr>
            <w:tcW w:w="556" w:type="dxa"/>
            <w:tcBorders>
              <w:top w:val="nil"/>
              <w:left w:val="nil"/>
              <w:bottom w:val="nil"/>
              <w:right w:val="nil"/>
            </w:tcBorders>
            <w:vAlign w:val="center"/>
          </w:tcPr>
          <w:p w14:paraId="33AA9287" w14:textId="77777777" w:rsidR="00D067DF" w:rsidRPr="00011786" w:rsidRDefault="00D067DF" w:rsidP="00011786">
            <w:pPr>
              <w:spacing w:after="0"/>
              <w:jc w:val="right"/>
              <w:rPr>
                <w:rFonts w:eastAsia="Times New Roman"/>
                <w:sz w:val="22"/>
                <w:szCs w:val="22"/>
              </w:rPr>
            </w:pPr>
          </w:p>
        </w:tc>
      </w:tr>
      <w:tr w:rsidR="00011786" w:rsidRPr="004E2B94" w14:paraId="0253F005" w14:textId="77777777" w:rsidTr="00E15B47">
        <w:trPr>
          <w:trHeight w:val="288"/>
        </w:trPr>
        <w:tc>
          <w:tcPr>
            <w:tcW w:w="1439" w:type="dxa"/>
            <w:tcBorders>
              <w:top w:val="nil"/>
              <w:left w:val="nil"/>
              <w:bottom w:val="nil"/>
              <w:right w:val="nil"/>
            </w:tcBorders>
            <w:vAlign w:val="center"/>
          </w:tcPr>
          <w:p w14:paraId="4BE195C6" w14:textId="77777777" w:rsidR="00D067DF" w:rsidRPr="00011786" w:rsidRDefault="00D067DF" w:rsidP="00011786">
            <w:pPr>
              <w:spacing w:after="0"/>
              <w:rPr>
                <w:i/>
                <w:sz w:val="22"/>
                <w:szCs w:val="22"/>
              </w:rPr>
            </w:pPr>
            <w:r w:rsidRPr="00011786">
              <w:rPr>
                <w:color w:val="000000"/>
                <w:sz w:val="22"/>
                <w:szCs w:val="22"/>
              </w:rPr>
              <w:t>Broward</w:t>
            </w:r>
          </w:p>
        </w:tc>
        <w:tc>
          <w:tcPr>
            <w:tcW w:w="628" w:type="dxa"/>
            <w:tcBorders>
              <w:top w:val="nil"/>
              <w:left w:val="nil"/>
              <w:bottom w:val="nil"/>
              <w:right w:val="nil"/>
            </w:tcBorders>
            <w:vAlign w:val="center"/>
          </w:tcPr>
          <w:p w14:paraId="283BA652" w14:textId="40EBE29C" w:rsidR="00D067DF" w:rsidRPr="00E15B47" w:rsidRDefault="00E15B47" w:rsidP="00E15B47">
            <w:pPr>
              <w:spacing w:after="0"/>
              <w:jc w:val="right"/>
              <w:rPr>
                <w:color w:val="000000"/>
                <w:sz w:val="22"/>
                <w:szCs w:val="22"/>
              </w:rPr>
            </w:pPr>
            <w:r w:rsidRPr="00E15B47">
              <w:rPr>
                <w:color w:val="000000"/>
                <w:sz w:val="22"/>
                <w:szCs w:val="22"/>
              </w:rPr>
              <w:t>–</w:t>
            </w:r>
          </w:p>
        </w:tc>
        <w:tc>
          <w:tcPr>
            <w:tcW w:w="236" w:type="dxa"/>
            <w:tcBorders>
              <w:top w:val="nil"/>
              <w:left w:val="nil"/>
              <w:bottom w:val="nil"/>
              <w:right w:val="nil"/>
            </w:tcBorders>
            <w:vAlign w:val="center"/>
          </w:tcPr>
          <w:p w14:paraId="13686604" w14:textId="77777777" w:rsidR="00D067DF" w:rsidRPr="00E15B47"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71E7335" w14:textId="38CA5B26" w:rsidR="00D067DF" w:rsidRPr="00E15B47" w:rsidRDefault="00E15B47" w:rsidP="00E15B47">
            <w:pPr>
              <w:spacing w:after="0"/>
              <w:jc w:val="right"/>
              <w:rPr>
                <w:rFonts w:eastAsia="Times New Roman"/>
                <w:sz w:val="22"/>
                <w:szCs w:val="22"/>
              </w:rPr>
            </w:pPr>
            <w:r w:rsidRPr="00E15B47">
              <w:rPr>
                <w:color w:val="000000"/>
                <w:sz w:val="22"/>
                <w:szCs w:val="22"/>
              </w:rPr>
              <w:t>–</w:t>
            </w:r>
            <w:r w:rsidR="00F949D4">
              <w:rPr>
                <w:color w:val="000000"/>
                <w:sz w:val="22"/>
                <w:szCs w:val="22"/>
              </w:rPr>
              <w:t>  </w:t>
            </w:r>
          </w:p>
        </w:tc>
        <w:tc>
          <w:tcPr>
            <w:tcW w:w="323" w:type="dxa"/>
            <w:tcBorders>
              <w:top w:val="nil"/>
              <w:left w:val="nil"/>
              <w:bottom w:val="nil"/>
              <w:right w:val="nil"/>
            </w:tcBorders>
            <w:vAlign w:val="center"/>
          </w:tcPr>
          <w:p w14:paraId="686A5B2E" w14:textId="77777777" w:rsidR="00D067DF" w:rsidRPr="00E15B47"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5338DEC8" w14:textId="46178CB5" w:rsidR="00D067DF" w:rsidRPr="00E15B47" w:rsidRDefault="00E15B47" w:rsidP="00E15B47">
            <w:pPr>
              <w:spacing w:after="0"/>
              <w:jc w:val="right"/>
              <w:rPr>
                <w:rFonts w:eastAsia="Times New Roman"/>
                <w:sz w:val="22"/>
                <w:szCs w:val="22"/>
              </w:rPr>
            </w:pPr>
            <w:r w:rsidRPr="00E15B47">
              <w:rPr>
                <w:color w:val="000000"/>
                <w:sz w:val="22"/>
                <w:szCs w:val="22"/>
              </w:rPr>
              <w:t>–</w:t>
            </w:r>
            <w:r w:rsidR="00F949D4">
              <w:rPr>
                <w:color w:val="000000"/>
                <w:sz w:val="22"/>
                <w:szCs w:val="22"/>
              </w:rPr>
              <w:t>  </w:t>
            </w:r>
          </w:p>
        </w:tc>
        <w:tc>
          <w:tcPr>
            <w:tcW w:w="625" w:type="dxa"/>
            <w:tcBorders>
              <w:top w:val="nil"/>
              <w:left w:val="nil"/>
              <w:bottom w:val="nil"/>
              <w:right w:val="single" w:sz="4" w:space="0" w:color="auto"/>
            </w:tcBorders>
            <w:vAlign w:val="center"/>
          </w:tcPr>
          <w:p w14:paraId="5636843B" w14:textId="3625EFB9"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047BAC52" w14:textId="77777777" w:rsidR="00D067DF" w:rsidRPr="00011786" w:rsidRDefault="00D067DF" w:rsidP="00011786">
            <w:pPr>
              <w:spacing w:after="0"/>
              <w:rPr>
                <w:rFonts w:eastAsia="Times New Roman"/>
                <w:sz w:val="22"/>
                <w:szCs w:val="22"/>
              </w:rPr>
            </w:pPr>
            <w:r w:rsidRPr="00011786">
              <w:rPr>
                <w:color w:val="000000"/>
                <w:sz w:val="22"/>
                <w:szCs w:val="22"/>
              </w:rPr>
              <w:t>Manatee</w:t>
            </w:r>
          </w:p>
        </w:tc>
        <w:tc>
          <w:tcPr>
            <w:tcW w:w="744" w:type="dxa"/>
            <w:tcBorders>
              <w:top w:val="nil"/>
              <w:left w:val="nil"/>
              <w:bottom w:val="nil"/>
              <w:right w:val="nil"/>
            </w:tcBorders>
            <w:vAlign w:val="center"/>
          </w:tcPr>
          <w:p w14:paraId="178E73F3" w14:textId="77777777" w:rsidR="00D067DF" w:rsidRPr="00011786" w:rsidRDefault="00D067DF" w:rsidP="00011786">
            <w:pPr>
              <w:spacing w:after="0"/>
              <w:jc w:val="right"/>
              <w:rPr>
                <w:color w:val="000000"/>
                <w:sz w:val="22"/>
                <w:szCs w:val="22"/>
              </w:rPr>
            </w:pPr>
            <w:r w:rsidRPr="00011786">
              <w:rPr>
                <w:color w:val="000000"/>
                <w:sz w:val="22"/>
                <w:szCs w:val="22"/>
              </w:rPr>
              <w:t>25</w:t>
            </w:r>
          </w:p>
        </w:tc>
        <w:tc>
          <w:tcPr>
            <w:tcW w:w="240" w:type="dxa"/>
            <w:tcBorders>
              <w:top w:val="nil"/>
              <w:left w:val="nil"/>
              <w:bottom w:val="nil"/>
              <w:right w:val="nil"/>
            </w:tcBorders>
            <w:vAlign w:val="center"/>
          </w:tcPr>
          <w:p w14:paraId="4F02E08E"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1ACCCA68" w14:textId="40B7A3F7" w:rsidR="00D067DF" w:rsidRPr="00011786" w:rsidRDefault="00D067DF" w:rsidP="00011786">
            <w:pPr>
              <w:spacing w:after="0"/>
              <w:jc w:val="right"/>
              <w:rPr>
                <w:rFonts w:eastAsia="Times New Roman"/>
                <w:sz w:val="22"/>
                <w:szCs w:val="22"/>
              </w:rPr>
            </w:pPr>
            <w:r w:rsidRPr="00011786">
              <w:rPr>
                <w:color w:val="000000"/>
                <w:sz w:val="22"/>
                <w:szCs w:val="22"/>
              </w:rPr>
              <w:t>7.68</w:t>
            </w:r>
          </w:p>
        </w:tc>
        <w:tc>
          <w:tcPr>
            <w:tcW w:w="248" w:type="dxa"/>
            <w:tcBorders>
              <w:top w:val="nil"/>
              <w:left w:val="nil"/>
              <w:bottom w:val="nil"/>
              <w:right w:val="nil"/>
            </w:tcBorders>
            <w:vAlign w:val="center"/>
          </w:tcPr>
          <w:p w14:paraId="0D7E2693"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3C6D9907" w14:textId="7CF5FF4B" w:rsidR="00D067DF" w:rsidRPr="00011786" w:rsidRDefault="00D067DF" w:rsidP="00011786">
            <w:pPr>
              <w:spacing w:after="0"/>
              <w:jc w:val="right"/>
              <w:rPr>
                <w:rFonts w:eastAsia="Times New Roman"/>
                <w:sz w:val="22"/>
                <w:szCs w:val="22"/>
              </w:rPr>
            </w:pPr>
            <w:r w:rsidRPr="00011786">
              <w:rPr>
                <w:color w:val="000000"/>
                <w:sz w:val="22"/>
                <w:szCs w:val="22"/>
              </w:rPr>
              <w:t>8.64</w:t>
            </w:r>
          </w:p>
        </w:tc>
        <w:tc>
          <w:tcPr>
            <w:tcW w:w="556" w:type="dxa"/>
            <w:tcBorders>
              <w:top w:val="nil"/>
              <w:left w:val="nil"/>
              <w:bottom w:val="nil"/>
              <w:right w:val="nil"/>
            </w:tcBorders>
            <w:vAlign w:val="center"/>
          </w:tcPr>
          <w:p w14:paraId="53947B88" w14:textId="77777777" w:rsidR="00D067DF" w:rsidRPr="00011786" w:rsidRDefault="00D067DF" w:rsidP="00011786">
            <w:pPr>
              <w:spacing w:after="0"/>
              <w:jc w:val="right"/>
              <w:rPr>
                <w:rFonts w:eastAsia="Times New Roman"/>
                <w:sz w:val="22"/>
                <w:szCs w:val="22"/>
              </w:rPr>
            </w:pPr>
          </w:p>
        </w:tc>
      </w:tr>
      <w:tr w:rsidR="00F949D4" w:rsidRPr="004E2B94" w14:paraId="6F95C52D" w14:textId="77777777" w:rsidTr="00E15B47">
        <w:trPr>
          <w:trHeight w:val="288"/>
        </w:trPr>
        <w:tc>
          <w:tcPr>
            <w:tcW w:w="1439" w:type="dxa"/>
            <w:tcBorders>
              <w:top w:val="nil"/>
              <w:left w:val="nil"/>
              <w:bottom w:val="nil"/>
              <w:right w:val="nil"/>
            </w:tcBorders>
            <w:vAlign w:val="center"/>
          </w:tcPr>
          <w:p w14:paraId="692B9A99" w14:textId="77777777" w:rsidR="00F949D4" w:rsidRPr="00011786" w:rsidRDefault="00F949D4" w:rsidP="00F949D4">
            <w:pPr>
              <w:spacing w:after="0"/>
              <w:rPr>
                <w:i/>
                <w:sz w:val="22"/>
                <w:szCs w:val="22"/>
              </w:rPr>
            </w:pPr>
            <w:r w:rsidRPr="00011786">
              <w:rPr>
                <w:color w:val="000000"/>
                <w:sz w:val="22"/>
                <w:szCs w:val="22"/>
              </w:rPr>
              <w:t>Calhoun</w:t>
            </w:r>
          </w:p>
        </w:tc>
        <w:tc>
          <w:tcPr>
            <w:tcW w:w="628" w:type="dxa"/>
            <w:tcBorders>
              <w:top w:val="nil"/>
              <w:left w:val="nil"/>
              <w:bottom w:val="nil"/>
              <w:right w:val="nil"/>
            </w:tcBorders>
            <w:vAlign w:val="center"/>
          </w:tcPr>
          <w:p w14:paraId="48D6D4EC" w14:textId="77777777" w:rsidR="00F949D4" w:rsidRPr="00011786" w:rsidRDefault="00F949D4" w:rsidP="00F949D4">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74B33D72"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1B4924D8" w14:textId="49C49E03" w:rsidR="00F949D4" w:rsidRPr="00011786" w:rsidRDefault="00F949D4" w:rsidP="00F949D4">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625CB8B8"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nil"/>
              <w:right w:val="nil"/>
            </w:tcBorders>
            <w:vAlign w:val="center"/>
          </w:tcPr>
          <w:p w14:paraId="1A2763EE" w14:textId="60C43F16" w:rsidR="00F949D4" w:rsidRPr="00011786" w:rsidRDefault="00F949D4" w:rsidP="00F949D4">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601731A2" w14:textId="49C6955C"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4D7F268" w14:textId="77777777" w:rsidR="00F949D4" w:rsidRPr="00011786" w:rsidRDefault="00F949D4" w:rsidP="00F949D4">
            <w:pPr>
              <w:spacing w:after="0"/>
              <w:rPr>
                <w:rFonts w:eastAsia="Times New Roman"/>
                <w:sz w:val="22"/>
                <w:szCs w:val="22"/>
              </w:rPr>
            </w:pPr>
            <w:r w:rsidRPr="00011786">
              <w:rPr>
                <w:color w:val="000000"/>
                <w:sz w:val="22"/>
                <w:szCs w:val="22"/>
              </w:rPr>
              <w:t>Marion</w:t>
            </w:r>
          </w:p>
        </w:tc>
        <w:tc>
          <w:tcPr>
            <w:tcW w:w="744" w:type="dxa"/>
            <w:tcBorders>
              <w:top w:val="nil"/>
              <w:left w:val="nil"/>
              <w:bottom w:val="nil"/>
              <w:right w:val="nil"/>
            </w:tcBorders>
            <w:vAlign w:val="center"/>
          </w:tcPr>
          <w:p w14:paraId="1B7B88D4" w14:textId="6A77BAA9" w:rsidR="00F949D4" w:rsidRPr="00011786" w:rsidRDefault="00F949D4" w:rsidP="00F949D4">
            <w:pPr>
              <w:spacing w:after="0"/>
              <w:jc w:val="right"/>
              <w:rPr>
                <w:color w:val="000000"/>
                <w:sz w:val="22"/>
                <w:szCs w:val="22"/>
              </w:rPr>
            </w:pPr>
            <w:r w:rsidRPr="00E15B47">
              <w:rPr>
                <w:color w:val="000000"/>
                <w:sz w:val="22"/>
                <w:szCs w:val="22"/>
              </w:rPr>
              <w:t>–</w:t>
            </w:r>
          </w:p>
        </w:tc>
        <w:tc>
          <w:tcPr>
            <w:tcW w:w="240" w:type="dxa"/>
            <w:tcBorders>
              <w:top w:val="nil"/>
              <w:left w:val="nil"/>
              <w:bottom w:val="nil"/>
              <w:right w:val="nil"/>
            </w:tcBorders>
            <w:vAlign w:val="center"/>
          </w:tcPr>
          <w:p w14:paraId="6D3CE908"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1DA6BEBB" w14:textId="66A17F32"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248" w:type="dxa"/>
            <w:tcBorders>
              <w:top w:val="nil"/>
              <w:left w:val="nil"/>
              <w:bottom w:val="nil"/>
              <w:right w:val="nil"/>
            </w:tcBorders>
            <w:vAlign w:val="center"/>
          </w:tcPr>
          <w:p w14:paraId="3F135EBC"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54C4C4B4" w14:textId="0CB685FD"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556" w:type="dxa"/>
            <w:tcBorders>
              <w:top w:val="nil"/>
              <w:left w:val="nil"/>
              <w:bottom w:val="nil"/>
              <w:right w:val="nil"/>
            </w:tcBorders>
            <w:vAlign w:val="center"/>
          </w:tcPr>
          <w:p w14:paraId="1BBAFD57" w14:textId="77777777" w:rsidR="00F949D4" w:rsidRPr="00011786" w:rsidRDefault="00F949D4" w:rsidP="00F949D4">
            <w:pPr>
              <w:spacing w:after="0"/>
              <w:jc w:val="right"/>
              <w:rPr>
                <w:rFonts w:eastAsia="Times New Roman"/>
                <w:sz w:val="22"/>
                <w:szCs w:val="22"/>
              </w:rPr>
            </w:pPr>
          </w:p>
        </w:tc>
      </w:tr>
      <w:tr w:rsidR="00F949D4" w:rsidRPr="004E2B94" w14:paraId="68B27287" w14:textId="77777777" w:rsidTr="00E15B47">
        <w:trPr>
          <w:trHeight w:val="288"/>
        </w:trPr>
        <w:tc>
          <w:tcPr>
            <w:tcW w:w="1439" w:type="dxa"/>
            <w:tcBorders>
              <w:top w:val="nil"/>
              <w:left w:val="nil"/>
              <w:bottom w:val="nil"/>
              <w:right w:val="nil"/>
            </w:tcBorders>
            <w:vAlign w:val="center"/>
          </w:tcPr>
          <w:p w14:paraId="5FBA2FA1" w14:textId="77777777" w:rsidR="00F949D4" w:rsidRPr="00011786" w:rsidRDefault="00F949D4" w:rsidP="00F949D4">
            <w:pPr>
              <w:spacing w:after="0"/>
              <w:rPr>
                <w:i/>
                <w:sz w:val="22"/>
                <w:szCs w:val="22"/>
              </w:rPr>
            </w:pPr>
            <w:r w:rsidRPr="00011786">
              <w:rPr>
                <w:color w:val="000000"/>
                <w:sz w:val="22"/>
                <w:szCs w:val="22"/>
              </w:rPr>
              <w:t>Charlotte</w:t>
            </w:r>
          </w:p>
        </w:tc>
        <w:tc>
          <w:tcPr>
            <w:tcW w:w="628" w:type="dxa"/>
            <w:tcBorders>
              <w:top w:val="nil"/>
              <w:left w:val="nil"/>
              <w:bottom w:val="nil"/>
              <w:right w:val="nil"/>
            </w:tcBorders>
            <w:vAlign w:val="center"/>
          </w:tcPr>
          <w:p w14:paraId="04C21D11" w14:textId="77777777" w:rsidR="00F949D4" w:rsidRPr="00011786" w:rsidRDefault="00F949D4" w:rsidP="00F949D4">
            <w:pPr>
              <w:spacing w:after="0"/>
              <w:jc w:val="right"/>
              <w:rPr>
                <w:color w:val="000000"/>
                <w:sz w:val="22"/>
                <w:szCs w:val="22"/>
              </w:rPr>
            </w:pPr>
            <w:r w:rsidRPr="00011786">
              <w:rPr>
                <w:color w:val="000000"/>
                <w:sz w:val="22"/>
                <w:szCs w:val="22"/>
              </w:rPr>
              <w:t>2</w:t>
            </w:r>
          </w:p>
        </w:tc>
        <w:tc>
          <w:tcPr>
            <w:tcW w:w="236" w:type="dxa"/>
            <w:tcBorders>
              <w:top w:val="nil"/>
              <w:left w:val="nil"/>
              <w:bottom w:val="nil"/>
              <w:right w:val="nil"/>
            </w:tcBorders>
            <w:vAlign w:val="center"/>
          </w:tcPr>
          <w:p w14:paraId="25E1C608"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6176E4DD" w14:textId="3EF23EB2" w:rsidR="00F949D4" w:rsidRPr="00011786" w:rsidRDefault="00F949D4" w:rsidP="00F949D4">
            <w:pPr>
              <w:spacing w:after="0"/>
              <w:jc w:val="right"/>
              <w:rPr>
                <w:rFonts w:eastAsia="Times New Roman"/>
                <w:sz w:val="22"/>
                <w:szCs w:val="22"/>
              </w:rPr>
            </w:pPr>
            <w:r w:rsidRPr="00011786">
              <w:rPr>
                <w:color w:val="000000"/>
                <w:sz w:val="22"/>
                <w:szCs w:val="22"/>
              </w:rPr>
              <w:t>1.23</w:t>
            </w:r>
          </w:p>
        </w:tc>
        <w:tc>
          <w:tcPr>
            <w:tcW w:w="323" w:type="dxa"/>
            <w:tcBorders>
              <w:top w:val="nil"/>
              <w:left w:val="nil"/>
              <w:bottom w:val="nil"/>
              <w:right w:val="nil"/>
            </w:tcBorders>
            <w:vAlign w:val="center"/>
          </w:tcPr>
          <w:p w14:paraId="06FE97D8"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nil"/>
              <w:right w:val="nil"/>
            </w:tcBorders>
            <w:vAlign w:val="center"/>
          </w:tcPr>
          <w:p w14:paraId="7013E48D" w14:textId="63B51DBC" w:rsidR="00F949D4" w:rsidRPr="00011786" w:rsidRDefault="00F949D4" w:rsidP="00F949D4">
            <w:pPr>
              <w:spacing w:after="0"/>
              <w:jc w:val="right"/>
              <w:rPr>
                <w:rFonts w:eastAsia="Times New Roman"/>
                <w:sz w:val="22"/>
                <w:szCs w:val="22"/>
              </w:rPr>
            </w:pPr>
            <w:r w:rsidRPr="00011786">
              <w:rPr>
                <w:color w:val="000000"/>
                <w:sz w:val="22"/>
                <w:szCs w:val="22"/>
              </w:rPr>
              <w:t>1.07</w:t>
            </w:r>
          </w:p>
        </w:tc>
        <w:tc>
          <w:tcPr>
            <w:tcW w:w="625" w:type="dxa"/>
            <w:tcBorders>
              <w:top w:val="nil"/>
              <w:left w:val="nil"/>
              <w:bottom w:val="nil"/>
              <w:right w:val="single" w:sz="4" w:space="0" w:color="auto"/>
            </w:tcBorders>
            <w:vAlign w:val="center"/>
          </w:tcPr>
          <w:p w14:paraId="2936E8D3" w14:textId="13E30334"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3A8EA7C4" w14:textId="77777777" w:rsidR="00F949D4" w:rsidRPr="00011786" w:rsidRDefault="00F949D4" w:rsidP="00F949D4">
            <w:pPr>
              <w:spacing w:after="0"/>
              <w:rPr>
                <w:rFonts w:eastAsia="Times New Roman"/>
                <w:sz w:val="22"/>
                <w:szCs w:val="22"/>
              </w:rPr>
            </w:pPr>
            <w:r w:rsidRPr="00011786">
              <w:rPr>
                <w:color w:val="000000"/>
                <w:sz w:val="22"/>
                <w:szCs w:val="22"/>
              </w:rPr>
              <w:t>Martin</w:t>
            </w:r>
          </w:p>
        </w:tc>
        <w:tc>
          <w:tcPr>
            <w:tcW w:w="744" w:type="dxa"/>
            <w:tcBorders>
              <w:top w:val="nil"/>
              <w:left w:val="nil"/>
              <w:bottom w:val="nil"/>
              <w:right w:val="nil"/>
            </w:tcBorders>
            <w:vAlign w:val="center"/>
          </w:tcPr>
          <w:p w14:paraId="0DC6DE20" w14:textId="0B6D6993" w:rsidR="00F949D4" w:rsidRPr="00011786" w:rsidRDefault="00F949D4" w:rsidP="00F949D4">
            <w:pPr>
              <w:spacing w:after="0"/>
              <w:jc w:val="right"/>
              <w:rPr>
                <w:color w:val="000000"/>
                <w:sz w:val="22"/>
                <w:szCs w:val="22"/>
              </w:rPr>
            </w:pPr>
            <w:r w:rsidRPr="00E15B47">
              <w:rPr>
                <w:color w:val="000000"/>
                <w:sz w:val="22"/>
                <w:szCs w:val="22"/>
              </w:rPr>
              <w:t>–</w:t>
            </w:r>
          </w:p>
        </w:tc>
        <w:tc>
          <w:tcPr>
            <w:tcW w:w="240" w:type="dxa"/>
            <w:tcBorders>
              <w:top w:val="nil"/>
              <w:left w:val="nil"/>
              <w:bottom w:val="nil"/>
              <w:right w:val="nil"/>
            </w:tcBorders>
            <w:vAlign w:val="center"/>
          </w:tcPr>
          <w:p w14:paraId="214435E3"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27FE8CEF" w14:textId="3583E486"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248" w:type="dxa"/>
            <w:tcBorders>
              <w:top w:val="nil"/>
              <w:left w:val="nil"/>
              <w:bottom w:val="nil"/>
              <w:right w:val="nil"/>
            </w:tcBorders>
            <w:vAlign w:val="center"/>
          </w:tcPr>
          <w:p w14:paraId="1C2D50FA"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50D40B26" w14:textId="56115F3C"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556" w:type="dxa"/>
            <w:tcBorders>
              <w:top w:val="nil"/>
              <w:left w:val="nil"/>
              <w:bottom w:val="nil"/>
              <w:right w:val="nil"/>
            </w:tcBorders>
            <w:vAlign w:val="center"/>
          </w:tcPr>
          <w:p w14:paraId="71BC87CB" w14:textId="77777777" w:rsidR="00F949D4" w:rsidRPr="00011786" w:rsidRDefault="00F949D4" w:rsidP="00F949D4">
            <w:pPr>
              <w:spacing w:after="0"/>
              <w:jc w:val="right"/>
              <w:rPr>
                <w:rFonts w:eastAsia="Times New Roman"/>
                <w:sz w:val="22"/>
                <w:szCs w:val="22"/>
              </w:rPr>
            </w:pPr>
          </w:p>
        </w:tc>
      </w:tr>
      <w:tr w:rsidR="00F949D4" w:rsidRPr="004E2B94" w14:paraId="5549B79D" w14:textId="77777777" w:rsidTr="00E15B47">
        <w:trPr>
          <w:trHeight w:val="288"/>
        </w:trPr>
        <w:tc>
          <w:tcPr>
            <w:tcW w:w="1439" w:type="dxa"/>
            <w:tcBorders>
              <w:top w:val="nil"/>
              <w:left w:val="nil"/>
              <w:bottom w:val="nil"/>
              <w:right w:val="nil"/>
            </w:tcBorders>
            <w:vAlign w:val="center"/>
          </w:tcPr>
          <w:p w14:paraId="20E08195" w14:textId="77777777" w:rsidR="00F949D4" w:rsidRPr="00011786" w:rsidRDefault="00F949D4" w:rsidP="00F949D4">
            <w:pPr>
              <w:spacing w:after="0"/>
              <w:rPr>
                <w:i/>
                <w:sz w:val="22"/>
                <w:szCs w:val="22"/>
              </w:rPr>
            </w:pPr>
            <w:r w:rsidRPr="00011786">
              <w:rPr>
                <w:color w:val="000000"/>
                <w:sz w:val="22"/>
                <w:szCs w:val="22"/>
              </w:rPr>
              <w:t>Citrus</w:t>
            </w:r>
          </w:p>
        </w:tc>
        <w:tc>
          <w:tcPr>
            <w:tcW w:w="628" w:type="dxa"/>
            <w:tcBorders>
              <w:top w:val="nil"/>
              <w:left w:val="nil"/>
              <w:bottom w:val="nil"/>
              <w:right w:val="nil"/>
            </w:tcBorders>
            <w:vAlign w:val="center"/>
          </w:tcPr>
          <w:p w14:paraId="5FD7F11E" w14:textId="30A97BD5" w:rsidR="00F949D4" w:rsidRPr="00E15B47" w:rsidRDefault="00F949D4" w:rsidP="00F949D4">
            <w:pPr>
              <w:spacing w:after="0"/>
              <w:jc w:val="right"/>
              <w:rPr>
                <w:i/>
                <w:color w:val="000000"/>
                <w:sz w:val="22"/>
                <w:szCs w:val="22"/>
              </w:rPr>
            </w:pPr>
            <w:r w:rsidRPr="00E15B47">
              <w:rPr>
                <w:color w:val="000000"/>
                <w:sz w:val="22"/>
                <w:szCs w:val="22"/>
              </w:rPr>
              <w:t>–</w:t>
            </w:r>
          </w:p>
        </w:tc>
        <w:tc>
          <w:tcPr>
            <w:tcW w:w="236" w:type="dxa"/>
            <w:tcBorders>
              <w:top w:val="nil"/>
              <w:left w:val="nil"/>
              <w:bottom w:val="nil"/>
              <w:right w:val="nil"/>
            </w:tcBorders>
            <w:vAlign w:val="center"/>
          </w:tcPr>
          <w:p w14:paraId="7A49EA61" w14:textId="77777777" w:rsidR="00F949D4" w:rsidRPr="00E15B47" w:rsidRDefault="00F949D4" w:rsidP="00F949D4">
            <w:pPr>
              <w:spacing w:after="0"/>
              <w:jc w:val="right"/>
              <w:rPr>
                <w:i/>
                <w:color w:val="000000"/>
                <w:sz w:val="22"/>
                <w:szCs w:val="22"/>
              </w:rPr>
            </w:pPr>
          </w:p>
        </w:tc>
        <w:tc>
          <w:tcPr>
            <w:tcW w:w="767" w:type="dxa"/>
            <w:tcBorders>
              <w:top w:val="nil"/>
              <w:left w:val="nil"/>
              <w:bottom w:val="nil"/>
              <w:right w:val="nil"/>
            </w:tcBorders>
            <w:vAlign w:val="center"/>
          </w:tcPr>
          <w:p w14:paraId="00B18D51" w14:textId="35FC421C" w:rsidR="00F949D4" w:rsidRPr="00E15B47" w:rsidRDefault="00F949D4" w:rsidP="00F949D4">
            <w:pPr>
              <w:spacing w:after="0"/>
              <w:jc w:val="right"/>
              <w:rPr>
                <w:rFonts w:eastAsia="Times New Roman"/>
                <w:i/>
                <w:sz w:val="22"/>
                <w:szCs w:val="22"/>
              </w:rPr>
            </w:pPr>
            <w:r w:rsidRPr="00E15B47">
              <w:rPr>
                <w:color w:val="000000"/>
                <w:sz w:val="22"/>
                <w:szCs w:val="22"/>
              </w:rPr>
              <w:t>–</w:t>
            </w:r>
            <w:r>
              <w:rPr>
                <w:color w:val="000000"/>
                <w:sz w:val="22"/>
                <w:szCs w:val="22"/>
              </w:rPr>
              <w:t>  </w:t>
            </w:r>
          </w:p>
        </w:tc>
        <w:tc>
          <w:tcPr>
            <w:tcW w:w="323" w:type="dxa"/>
            <w:tcBorders>
              <w:top w:val="nil"/>
              <w:left w:val="nil"/>
              <w:bottom w:val="nil"/>
              <w:right w:val="nil"/>
            </w:tcBorders>
            <w:vAlign w:val="center"/>
          </w:tcPr>
          <w:p w14:paraId="4A6D552F" w14:textId="77777777" w:rsidR="00F949D4" w:rsidRPr="00E15B47" w:rsidRDefault="00F949D4" w:rsidP="00F949D4">
            <w:pPr>
              <w:spacing w:after="0"/>
              <w:jc w:val="right"/>
              <w:rPr>
                <w:rFonts w:eastAsia="Times New Roman"/>
                <w:i/>
                <w:sz w:val="22"/>
                <w:szCs w:val="22"/>
              </w:rPr>
            </w:pPr>
          </w:p>
        </w:tc>
        <w:tc>
          <w:tcPr>
            <w:tcW w:w="884" w:type="dxa"/>
            <w:tcBorders>
              <w:top w:val="nil"/>
              <w:left w:val="nil"/>
              <w:bottom w:val="nil"/>
              <w:right w:val="nil"/>
            </w:tcBorders>
            <w:vAlign w:val="center"/>
          </w:tcPr>
          <w:p w14:paraId="5F69CF81" w14:textId="51BA21D6" w:rsidR="00F949D4" w:rsidRPr="00E15B47" w:rsidRDefault="00F949D4" w:rsidP="00F949D4">
            <w:pPr>
              <w:spacing w:after="0"/>
              <w:jc w:val="right"/>
              <w:rPr>
                <w:rFonts w:eastAsia="Times New Roman"/>
                <w:i/>
                <w:sz w:val="22"/>
                <w:szCs w:val="22"/>
              </w:rPr>
            </w:pPr>
            <w:r w:rsidRPr="00E15B47">
              <w:rPr>
                <w:color w:val="000000"/>
                <w:sz w:val="22"/>
                <w:szCs w:val="22"/>
              </w:rPr>
              <w:t>–</w:t>
            </w:r>
            <w:r>
              <w:rPr>
                <w:color w:val="000000"/>
                <w:sz w:val="22"/>
                <w:szCs w:val="22"/>
              </w:rPr>
              <w:t>  </w:t>
            </w:r>
          </w:p>
        </w:tc>
        <w:tc>
          <w:tcPr>
            <w:tcW w:w="625" w:type="dxa"/>
            <w:tcBorders>
              <w:top w:val="nil"/>
              <w:left w:val="nil"/>
              <w:bottom w:val="nil"/>
              <w:right w:val="single" w:sz="4" w:space="0" w:color="auto"/>
            </w:tcBorders>
            <w:vAlign w:val="center"/>
          </w:tcPr>
          <w:p w14:paraId="36871C7E" w14:textId="7CD31F86"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85CCCDC" w14:textId="77777777" w:rsidR="00F949D4" w:rsidRPr="00011786" w:rsidRDefault="00F949D4" w:rsidP="00F949D4">
            <w:pPr>
              <w:spacing w:after="0"/>
              <w:rPr>
                <w:rFonts w:eastAsia="Times New Roman"/>
                <w:sz w:val="22"/>
                <w:szCs w:val="22"/>
              </w:rPr>
            </w:pPr>
            <w:r w:rsidRPr="00011786">
              <w:rPr>
                <w:color w:val="000000"/>
                <w:sz w:val="22"/>
                <w:szCs w:val="22"/>
              </w:rPr>
              <w:t>Miami-Dade</w:t>
            </w:r>
          </w:p>
        </w:tc>
        <w:tc>
          <w:tcPr>
            <w:tcW w:w="744" w:type="dxa"/>
            <w:tcBorders>
              <w:top w:val="nil"/>
              <w:left w:val="nil"/>
              <w:bottom w:val="nil"/>
              <w:right w:val="nil"/>
            </w:tcBorders>
            <w:vAlign w:val="center"/>
          </w:tcPr>
          <w:p w14:paraId="1B2C1D58" w14:textId="77777777" w:rsidR="00F949D4" w:rsidRPr="00011786" w:rsidRDefault="00F949D4" w:rsidP="00F949D4">
            <w:pPr>
              <w:spacing w:after="0"/>
              <w:jc w:val="right"/>
              <w:rPr>
                <w:color w:val="000000"/>
                <w:sz w:val="22"/>
                <w:szCs w:val="22"/>
              </w:rPr>
            </w:pPr>
            <w:r w:rsidRPr="00011786">
              <w:rPr>
                <w:color w:val="000000"/>
                <w:sz w:val="22"/>
                <w:szCs w:val="22"/>
              </w:rPr>
              <w:t>95</w:t>
            </w:r>
          </w:p>
        </w:tc>
        <w:tc>
          <w:tcPr>
            <w:tcW w:w="240" w:type="dxa"/>
            <w:tcBorders>
              <w:top w:val="nil"/>
              <w:left w:val="nil"/>
              <w:bottom w:val="nil"/>
              <w:right w:val="nil"/>
            </w:tcBorders>
            <w:vAlign w:val="center"/>
          </w:tcPr>
          <w:p w14:paraId="066E718B"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1B15181D" w14:textId="04B30C64" w:rsidR="00F949D4" w:rsidRPr="00011786" w:rsidRDefault="00F949D4" w:rsidP="00F949D4">
            <w:pPr>
              <w:spacing w:after="0"/>
              <w:jc w:val="right"/>
              <w:rPr>
                <w:rFonts w:eastAsia="Times New Roman"/>
                <w:sz w:val="22"/>
                <w:szCs w:val="22"/>
              </w:rPr>
            </w:pPr>
            <w:r w:rsidRPr="00011786">
              <w:rPr>
                <w:color w:val="000000"/>
                <w:sz w:val="22"/>
                <w:szCs w:val="22"/>
              </w:rPr>
              <w:t>3.96</w:t>
            </w:r>
          </w:p>
        </w:tc>
        <w:tc>
          <w:tcPr>
            <w:tcW w:w="248" w:type="dxa"/>
            <w:tcBorders>
              <w:top w:val="nil"/>
              <w:left w:val="nil"/>
              <w:bottom w:val="nil"/>
              <w:right w:val="nil"/>
            </w:tcBorders>
            <w:vAlign w:val="center"/>
          </w:tcPr>
          <w:p w14:paraId="2DE84E00"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56069A4A" w14:textId="46A96429" w:rsidR="00F949D4" w:rsidRPr="00011786" w:rsidRDefault="00F949D4" w:rsidP="00F949D4">
            <w:pPr>
              <w:spacing w:after="0"/>
              <w:jc w:val="right"/>
              <w:rPr>
                <w:rFonts w:eastAsia="Times New Roman"/>
                <w:sz w:val="22"/>
                <w:szCs w:val="22"/>
              </w:rPr>
            </w:pPr>
            <w:r w:rsidRPr="00011786">
              <w:rPr>
                <w:color w:val="000000"/>
                <w:sz w:val="22"/>
                <w:szCs w:val="22"/>
              </w:rPr>
              <w:t>3.71</w:t>
            </w:r>
          </w:p>
        </w:tc>
        <w:tc>
          <w:tcPr>
            <w:tcW w:w="556" w:type="dxa"/>
            <w:tcBorders>
              <w:top w:val="nil"/>
              <w:left w:val="nil"/>
              <w:bottom w:val="nil"/>
              <w:right w:val="nil"/>
            </w:tcBorders>
            <w:vAlign w:val="center"/>
          </w:tcPr>
          <w:p w14:paraId="5659FCF2" w14:textId="77777777" w:rsidR="00F949D4" w:rsidRPr="00011786" w:rsidRDefault="00F949D4" w:rsidP="00F949D4">
            <w:pPr>
              <w:spacing w:after="0"/>
              <w:jc w:val="right"/>
              <w:rPr>
                <w:rFonts w:eastAsia="Times New Roman"/>
                <w:sz w:val="22"/>
                <w:szCs w:val="22"/>
              </w:rPr>
            </w:pPr>
          </w:p>
        </w:tc>
      </w:tr>
      <w:tr w:rsidR="00011786" w:rsidRPr="004E2B94" w14:paraId="3A6DA2F1" w14:textId="77777777" w:rsidTr="00E15B47">
        <w:trPr>
          <w:trHeight w:val="288"/>
        </w:trPr>
        <w:tc>
          <w:tcPr>
            <w:tcW w:w="1439" w:type="dxa"/>
            <w:tcBorders>
              <w:top w:val="nil"/>
              <w:left w:val="nil"/>
              <w:bottom w:val="nil"/>
              <w:right w:val="nil"/>
            </w:tcBorders>
            <w:vAlign w:val="center"/>
          </w:tcPr>
          <w:p w14:paraId="0815EADD" w14:textId="77777777" w:rsidR="00D067DF" w:rsidRPr="00011786" w:rsidRDefault="00D067DF" w:rsidP="00011786">
            <w:pPr>
              <w:spacing w:after="0"/>
              <w:rPr>
                <w:sz w:val="22"/>
                <w:szCs w:val="22"/>
              </w:rPr>
            </w:pPr>
            <w:r w:rsidRPr="00011786">
              <w:rPr>
                <w:color w:val="000000"/>
                <w:sz w:val="22"/>
                <w:szCs w:val="22"/>
              </w:rPr>
              <w:t>Clay</w:t>
            </w:r>
          </w:p>
        </w:tc>
        <w:tc>
          <w:tcPr>
            <w:tcW w:w="628" w:type="dxa"/>
            <w:tcBorders>
              <w:top w:val="nil"/>
              <w:left w:val="nil"/>
              <w:bottom w:val="nil"/>
              <w:right w:val="nil"/>
            </w:tcBorders>
            <w:vAlign w:val="center"/>
          </w:tcPr>
          <w:p w14:paraId="4BDFD82E" w14:textId="77777777" w:rsidR="00D067DF" w:rsidRPr="00011786" w:rsidRDefault="00D067DF" w:rsidP="00E15B47">
            <w:pPr>
              <w:spacing w:after="0"/>
              <w:jc w:val="right"/>
              <w:rPr>
                <w:color w:val="000000"/>
                <w:sz w:val="22"/>
                <w:szCs w:val="22"/>
              </w:rPr>
            </w:pPr>
            <w:r w:rsidRPr="00011786">
              <w:rPr>
                <w:color w:val="000000"/>
                <w:sz w:val="22"/>
                <w:szCs w:val="22"/>
              </w:rPr>
              <w:t>22</w:t>
            </w:r>
          </w:p>
        </w:tc>
        <w:tc>
          <w:tcPr>
            <w:tcW w:w="236" w:type="dxa"/>
            <w:tcBorders>
              <w:top w:val="nil"/>
              <w:left w:val="nil"/>
              <w:bottom w:val="nil"/>
              <w:right w:val="nil"/>
            </w:tcBorders>
            <w:vAlign w:val="center"/>
          </w:tcPr>
          <w:p w14:paraId="657549E1"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5FA02F87" w14:textId="2FE5166A" w:rsidR="00D067DF" w:rsidRPr="00011786" w:rsidRDefault="00D067DF" w:rsidP="00E15B47">
            <w:pPr>
              <w:spacing w:after="0"/>
              <w:jc w:val="right"/>
              <w:rPr>
                <w:rFonts w:eastAsia="Times New Roman"/>
                <w:sz w:val="22"/>
                <w:szCs w:val="22"/>
              </w:rPr>
            </w:pPr>
            <w:r w:rsidRPr="00011786">
              <w:rPr>
                <w:color w:val="000000"/>
                <w:sz w:val="22"/>
                <w:szCs w:val="22"/>
              </w:rPr>
              <w:t>12.37</w:t>
            </w:r>
          </w:p>
        </w:tc>
        <w:tc>
          <w:tcPr>
            <w:tcW w:w="323" w:type="dxa"/>
            <w:tcBorders>
              <w:top w:val="nil"/>
              <w:left w:val="nil"/>
              <w:bottom w:val="nil"/>
              <w:right w:val="nil"/>
            </w:tcBorders>
            <w:vAlign w:val="center"/>
          </w:tcPr>
          <w:p w14:paraId="5731E129"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2F97D0DD" w14:textId="3526249C" w:rsidR="00D067DF" w:rsidRPr="00011786" w:rsidRDefault="00D067DF" w:rsidP="00E15B47">
            <w:pPr>
              <w:spacing w:after="0"/>
              <w:jc w:val="right"/>
              <w:rPr>
                <w:rFonts w:eastAsia="Times New Roman"/>
                <w:sz w:val="22"/>
                <w:szCs w:val="22"/>
              </w:rPr>
            </w:pPr>
            <w:r w:rsidRPr="00011786">
              <w:rPr>
                <w:color w:val="000000"/>
                <w:sz w:val="22"/>
                <w:szCs w:val="22"/>
              </w:rPr>
              <w:t>12.13</w:t>
            </w:r>
          </w:p>
        </w:tc>
        <w:tc>
          <w:tcPr>
            <w:tcW w:w="625" w:type="dxa"/>
            <w:tcBorders>
              <w:top w:val="nil"/>
              <w:left w:val="nil"/>
              <w:bottom w:val="nil"/>
              <w:right w:val="single" w:sz="4" w:space="0" w:color="auto"/>
            </w:tcBorders>
            <w:vAlign w:val="center"/>
          </w:tcPr>
          <w:p w14:paraId="1F4C3260" w14:textId="40E2C87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493548AB" w14:textId="77777777" w:rsidR="00D067DF" w:rsidRPr="00011786" w:rsidRDefault="00D067DF" w:rsidP="00011786">
            <w:pPr>
              <w:spacing w:after="0"/>
              <w:rPr>
                <w:rFonts w:eastAsia="Times New Roman"/>
                <w:sz w:val="22"/>
                <w:szCs w:val="22"/>
              </w:rPr>
            </w:pPr>
            <w:r w:rsidRPr="00011786">
              <w:rPr>
                <w:color w:val="000000"/>
                <w:sz w:val="22"/>
                <w:szCs w:val="22"/>
              </w:rPr>
              <w:t>Monroe</w:t>
            </w:r>
          </w:p>
        </w:tc>
        <w:tc>
          <w:tcPr>
            <w:tcW w:w="744" w:type="dxa"/>
            <w:tcBorders>
              <w:top w:val="nil"/>
              <w:left w:val="nil"/>
              <w:bottom w:val="nil"/>
              <w:right w:val="nil"/>
            </w:tcBorders>
            <w:vAlign w:val="center"/>
          </w:tcPr>
          <w:p w14:paraId="1C31A004" w14:textId="77777777" w:rsidR="00D067DF" w:rsidRPr="00011786" w:rsidRDefault="00D067DF" w:rsidP="00011786">
            <w:pPr>
              <w:spacing w:after="0"/>
              <w:jc w:val="right"/>
              <w:rPr>
                <w:color w:val="000000"/>
                <w:sz w:val="22"/>
                <w:szCs w:val="22"/>
              </w:rPr>
            </w:pPr>
            <w:r w:rsidRPr="00011786">
              <w:rPr>
                <w:color w:val="000000"/>
                <w:sz w:val="22"/>
                <w:szCs w:val="22"/>
              </w:rPr>
              <w:t>4</w:t>
            </w:r>
          </w:p>
        </w:tc>
        <w:tc>
          <w:tcPr>
            <w:tcW w:w="240" w:type="dxa"/>
            <w:tcBorders>
              <w:top w:val="nil"/>
              <w:left w:val="nil"/>
              <w:bottom w:val="nil"/>
              <w:right w:val="nil"/>
            </w:tcBorders>
            <w:vAlign w:val="center"/>
          </w:tcPr>
          <w:p w14:paraId="36D46F67"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13AB26E0" w14:textId="516D049D" w:rsidR="00D067DF" w:rsidRPr="00011786" w:rsidRDefault="00D067DF" w:rsidP="00011786">
            <w:pPr>
              <w:spacing w:after="0"/>
              <w:jc w:val="right"/>
              <w:rPr>
                <w:rFonts w:eastAsia="Times New Roman"/>
                <w:sz w:val="22"/>
                <w:szCs w:val="22"/>
              </w:rPr>
            </w:pPr>
            <w:r w:rsidRPr="00011786">
              <w:rPr>
                <w:color w:val="000000"/>
                <w:sz w:val="22"/>
                <w:szCs w:val="22"/>
              </w:rPr>
              <w:t>5.70</w:t>
            </w:r>
          </w:p>
        </w:tc>
        <w:tc>
          <w:tcPr>
            <w:tcW w:w="248" w:type="dxa"/>
            <w:tcBorders>
              <w:top w:val="nil"/>
              <w:left w:val="nil"/>
              <w:bottom w:val="nil"/>
              <w:right w:val="nil"/>
            </w:tcBorders>
            <w:vAlign w:val="center"/>
          </w:tcPr>
          <w:p w14:paraId="505B5EA5"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0EC293DE" w14:textId="6B745461" w:rsidR="00D067DF" w:rsidRPr="00011786" w:rsidRDefault="00D067DF" w:rsidP="00011786">
            <w:pPr>
              <w:spacing w:after="0"/>
              <w:jc w:val="right"/>
              <w:rPr>
                <w:rFonts w:eastAsia="Times New Roman"/>
                <w:sz w:val="22"/>
                <w:szCs w:val="22"/>
              </w:rPr>
            </w:pPr>
            <w:r w:rsidRPr="00011786">
              <w:rPr>
                <w:color w:val="000000"/>
                <w:sz w:val="22"/>
                <w:szCs w:val="22"/>
              </w:rPr>
              <w:t>5.53</w:t>
            </w:r>
          </w:p>
        </w:tc>
        <w:tc>
          <w:tcPr>
            <w:tcW w:w="556" w:type="dxa"/>
            <w:tcBorders>
              <w:top w:val="nil"/>
              <w:left w:val="nil"/>
              <w:bottom w:val="nil"/>
              <w:right w:val="nil"/>
            </w:tcBorders>
            <w:vAlign w:val="center"/>
          </w:tcPr>
          <w:p w14:paraId="59AF7022" w14:textId="77777777" w:rsidR="00D067DF" w:rsidRPr="00011786" w:rsidRDefault="00D067DF" w:rsidP="00011786">
            <w:pPr>
              <w:spacing w:after="0"/>
              <w:jc w:val="right"/>
              <w:rPr>
                <w:rFonts w:eastAsia="Times New Roman"/>
                <w:sz w:val="22"/>
                <w:szCs w:val="22"/>
              </w:rPr>
            </w:pPr>
          </w:p>
        </w:tc>
      </w:tr>
      <w:tr w:rsidR="00011786" w:rsidRPr="004E2B94" w14:paraId="4700117D" w14:textId="77777777" w:rsidTr="00E15B47">
        <w:trPr>
          <w:trHeight w:val="288"/>
        </w:trPr>
        <w:tc>
          <w:tcPr>
            <w:tcW w:w="1439" w:type="dxa"/>
            <w:tcBorders>
              <w:top w:val="nil"/>
              <w:left w:val="nil"/>
              <w:bottom w:val="nil"/>
              <w:right w:val="nil"/>
            </w:tcBorders>
            <w:vAlign w:val="center"/>
          </w:tcPr>
          <w:p w14:paraId="1B10C22F" w14:textId="77777777" w:rsidR="00D067DF" w:rsidRPr="00011786" w:rsidRDefault="00D067DF" w:rsidP="00011786">
            <w:pPr>
              <w:spacing w:after="0"/>
              <w:rPr>
                <w:i/>
                <w:sz w:val="22"/>
                <w:szCs w:val="22"/>
              </w:rPr>
            </w:pPr>
            <w:r w:rsidRPr="00011786">
              <w:rPr>
                <w:color w:val="000000"/>
                <w:sz w:val="22"/>
                <w:szCs w:val="22"/>
              </w:rPr>
              <w:t>Collier</w:t>
            </w:r>
          </w:p>
        </w:tc>
        <w:tc>
          <w:tcPr>
            <w:tcW w:w="628" w:type="dxa"/>
            <w:tcBorders>
              <w:top w:val="nil"/>
              <w:left w:val="nil"/>
              <w:bottom w:val="nil"/>
              <w:right w:val="nil"/>
            </w:tcBorders>
            <w:vAlign w:val="center"/>
          </w:tcPr>
          <w:p w14:paraId="6CF63540" w14:textId="77777777" w:rsidR="00D067DF" w:rsidRPr="00011786" w:rsidRDefault="00D067DF" w:rsidP="00E15B47">
            <w:pPr>
              <w:spacing w:after="0"/>
              <w:jc w:val="right"/>
              <w:rPr>
                <w:color w:val="000000"/>
                <w:sz w:val="22"/>
                <w:szCs w:val="22"/>
              </w:rPr>
            </w:pPr>
            <w:r w:rsidRPr="00011786">
              <w:rPr>
                <w:color w:val="000000"/>
                <w:sz w:val="22"/>
                <w:szCs w:val="22"/>
              </w:rPr>
              <w:t>21</w:t>
            </w:r>
          </w:p>
        </w:tc>
        <w:tc>
          <w:tcPr>
            <w:tcW w:w="236" w:type="dxa"/>
            <w:tcBorders>
              <w:top w:val="nil"/>
              <w:left w:val="nil"/>
              <w:bottom w:val="nil"/>
              <w:right w:val="nil"/>
            </w:tcBorders>
            <w:vAlign w:val="center"/>
          </w:tcPr>
          <w:p w14:paraId="3C65D096"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8FFD98B" w14:textId="05B783EE" w:rsidR="00D067DF" w:rsidRPr="00011786" w:rsidRDefault="00D067DF" w:rsidP="00E15B47">
            <w:pPr>
              <w:spacing w:after="0"/>
              <w:jc w:val="right"/>
              <w:rPr>
                <w:rFonts w:eastAsia="Times New Roman"/>
                <w:sz w:val="22"/>
                <w:szCs w:val="22"/>
              </w:rPr>
            </w:pPr>
            <w:r w:rsidRPr="00011786">
              <w:rPr>
                <w:color w:val="000000"/>
                <w:sz w:val="22"/>
                <w:szCs w:val="22"/>
              </w:rPr>
              <w:t>6.50</w:t>
            </w:r>
          </w:p>
        </w:tc>
        <w:tc>
          <w:tcPr>
            <w:tcW w:w="323" w:type="dxa"/>
            <w:tcBorders>
              <w:top w:val="nil"/>
              <w:left w:val="nil"/>
              <w:bottom w:val="nil"/>
              <w:right w:val="nil"/>
            </w:tcBorders>
            <w:vAlign w:val="center"/>
          </w:tcPr>
          <w:p w14:paraId="0B1B761D"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378EE524" w14:textId="13573856" w:rsidR="00D067DF" w:rsidRPr="00011786" w:rsidRDefault="00D067DF" w:rsidP="00E15B47">
            <w:pPr>
              <w:spacing w:after="0"/>
              <w:jc w:val="right"/>
              <w:rPr>
                <w:rFonts w:eastAsia="Times New Roman"/>
                <w:sz w:val="22"/>
                <w:szCs w:val="22"/>
              </w:rPr>
            </w:pPr>
            <w:r w:rsidRPr="00011786">
              <w:rPr>
                <w:color w:val="000000"/>
                <w:sz w:val="22"/>
                <w:szCs w:val="22"/>
              </w:rPr>
              <w:t>7.80</w:t>
            </w:r>
          </w:p>
        </w:tc>
        <w:tc>
          <w:tcPr>
            <w:tcW w:w="625" w:type="dxa"/>
            <w:tcBorders>
              <w:top w:val="nil"/>
              <w:left w:val="nil"/>
              <w:bottom w:val="nil"/>
              <w:right w:val="single" w:sz="4" w:space="0" w:color="auto"/>
            </w:tcBorders>
            <w:vAlign w:val="center"/>
          </w:tcPr>
          <w:p w14:paraId="7A49752C" w14:textId="1DBD881D"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F21045B" w14:textId="77777777" w:rsidR="00D067DF" w:rsidRPr="00011786" w:rsidRDefault="00D067DF" w:rsidP="00011786">
            <w:pPr>
              <w:spacing w:after="0"/>
              <w:rPr>
                <w:rFonts w:eastAsia="Times New Roman"/>
                <w:sz w:val="22"/>
                <w:szCs w:val="22"/>
              </w:rPr>
            </w:pPr>
            <w:r w:rsidRPr="00011786">
              <w:rPr>
                <w:color w:val="000000"/>
                <w:sz w:val="22"/>
                <w:szCs w:val="22"/>
              </w:rPr>
              <w:t>Nassau</w:t>
            </w:r>
          </w:p>
        </w:tc>
        <w:tc>
          <w:tcPr>
            <w:tcW w:w="744" w:type="dxa"/>
            <w:tcBorders>
              <w:top w:val="nil"/>
              <w:left w:val="nil"/>
              <w:bottom w:val="nil"/>
              <w:right w:val="nil"/>
            </w:tcBorders>
            <w:vAlign w:val="center"/>
          </w:tcPr>
          <w:p w14:paraId="60B0FC23" w14:textId="77777777" w:rsidR="00D067DF" w:rsidRPr="00011786" w:rsidRDefault="00D067DF" w:rsidP="00011786">
            <w:pPr>
              <w:spacing w:after="0"/>
              <w:jc w:val="right"/>
              <w:rPr>
                <w:color w:val="000000"/>
                <w:sz w:val="22"/>
                <w:szCs w:val="22"/>
              </w:rPr>
            </w:pPr>
            <w:r w:rsidRPr="00011786">
              <w:rPr>
                <w:color w:val="000000"/>
                <w:sz w:val="22"/>
                <w:szCs w:val="22"/>
              </w:rPr>
              <w:t>5</w:t>
            </w:r>
          </w:p>
        </w:tc>
        <w:tc>
          <w:tcPr>
            <w:tcW w:w="240" w:type="dxa"/>
            <w:tcBorders>
              <w:top w:val="nil"/>
              <w:left w:val="nil"/>
              <w:bottom w:val="nil"/>
              <w:right w:val="nil"/>
            </w:tcBorders>
            <w:vAlign w:val="center"/>
          </w:tcPr>
          <w:p w14:paraId="00C5A5E8"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49827C71" w14:textId="716A52FF" w:rsidR="00D067DF" w:rsidRPr="00011786" w:rsidRDefault="00D067DF" w:rsidP="00011786">
            <w:pPr>
              <w:spacing w:after="0"/>
              <w:jc w:val="right"/>
              <w:rPr>
                <w:rFonts w:eastAsia="Times New Roman"/>
                <w:sz w:val="22"/>
                <w:szCs w:val="22"/>
              </w:rPr>
            </w:pPr>
            <w:r w:rsidRPr="00011786">
              <w:rPr>
                <w:color w:val="000000"/>
                <w:sz w:val="22"/>
                <w:szCs w:val="22"/>
              </w:rPr>
              <w:t>7.13</w:t>
            </w:r>
          </w:p>
        </w:tc>
        <w:tc>
          <w:tcPr>
            <w:tcW w:w="248" w:type="dxa"/>
            <w:tcBorders>
              <w:top w:val="nil"/>
              <w:left w:val="nil"/>
              <w:bottom w:val="nil"/>
              <w:right w:val="nil"/>
            </w:tcBorders>
            <w:vAlign w:val="center"/>
          </w:tcPr>
          <w:p w14:paraId="5E3CE9E0"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397A6AEE" w14:textId="68D6051F" w:rsidR="00D067DF" w:rsidRPr="00011786" w:rsidRDefault="00D067DF" w:rsidP="00011786">
            <w:pPr>
              <w:spacing w:after="0"/>
              <w:jc w:val="right"/>
              <w:rPr>
                <w:rFonts w:eastAsia="Times New Roman"/>
                <w:sz w:val="22"/>
                <w:szCs w:val="22"/>
              </w:rPr>
            </w:pPr>
            <w:r w:rsidRPr="00011786">
              <w:rPr>
                <w:color w:val="000000"/>
                <w:sz w:val="22"/>
                <w:szCs w:val="22"/>
              </w:rPr>
              <w:t>7.10</w:t>
            </w:r>
          </w:p>
        </w:tc>
        <w:tc>
          <w:tcPr>
            <w:tcW w:w="556" w:type="dxa"/>
            <w:tcBorders>
              <w:top w:val="nil"/>
              <w:left w:val="nil"/>
              <w:bottom w:val="nil"/>
              <w:right w:val="nil"/>
            </w:tcBorders>
            <w:vAlign w:val="center"/>
          </w:tcPr>
          <w:p w14:paraId="28650867" w14:textId="77777777" w:rsidR="00D067DF" w:rsidRPr="00011786" w:rsidRDefault="00D067DF" w:rsidP="00011786">
            <w:pPr>
              <w:spacing w:after="0"/>
              <w:jc w:val="right"/>
              <w:rPr>
                <w:rFonts w:eastAsia="Times New Roman"/>
                <w:sz w:val="22"/>
                <w:szCs w:val="22"/>
              </w:rPr>
            </w:pPr>
          </w:p>
        </w:tc>
      </w:tr>
      <w:tr w:rsidR="00011786" w:rsidRPr="004E2B94" w14:paraId="00012060" w14:textId="77777777" w:rsidTr="00E15B47">
        <w:trPr>
          <w:trHeight w:val="288"/>
        </w:trPr>
        <w:tc>
          <w:tcPr>
            <w:tcW w:w="1439" w:type="dxa"/>
            <w:tcBorders>
              <w:top w:val="nil"/>
              <w:left w:val="nil"/>
              <w:bottom w:val="nil"/>
              <w:right w:val="nil"/>
            </w:tcBorders>
            <w:vAlign w:val="center"/>
          </w:tcPr>
          <w:p w14:paraId="68ABB97B" w14:textId="77777777" w:rsidR="00D067DF" w:rsidRPr="00011786" w:rsidRDefault="00D067DF" w:rsidP="00011786">
            <w:pPr>
              <w:spacing w:after="0"/>
              <w:rPr>
                <w:i/>
                <w:sz w:val="22"/>
                <w:szCs w:val="22"/>
              </w:rPr>
            </w:pPr>
            <w:r w:rsidRPr="00011786">
              <w:rPr>
                <w:color w:val="000000"/>
                <w:sz w:val="22"/>
                <w:szCs w:val="22"/>
              </w:rPr>
              <w:t>Columbia</w:t>
            </w:r>
          </w:p>
        </w:tc>
        <w:tc>
          <w:tcPr>
            <w:tcW w:w="628" w:type="dxa"/>
            <w:tcBorders>
              <w:top w:val="nil"/>
              <w:left w:val="nil"/>
              <w:bottom w:val="nil"/>
              <w:right w:val="nil"/>
            </w:tcBorders>
            <w:vAlign w:val="center"/>
          </w:tcPr>
          <w:p w14:paraId="1EF7920E" w14:textId="77777777" w:rsidR="00D067DF" w:rsidRPr="00011786" w:rsidRDefault="00D067DF" w:rsidP="00E15B47">
            <w:pPr>
              <w:spacing w:after="0"/>
              <w:jc w:val="right"/>
              <w:rPr>
                <w:color w:val="000000"/>
                <w:sz w:val="22"/>
                <w:szCs w:val="22"/>
              </w:rPr>
            </w:pPr>
            <w:r w:rsidRPr="00011786">
              <w:rPr>
                <w:color w:val="000000"/>
                <w:sz w:val="22"/>
                <w:szCs w:val="22"/>
              </w:rPr>
              <w:t>5</w:t>
            </w:r>
          </w:p>
        </w:tc>
        <w:tc>
          <w:tcPr>
            <w:tcW w:w="236" w:type="dxa"/>
            <w:tcBorders>
              <w:top w:val="nil"/>
              <w:left w:val="nil"/>
              <w:bottom w:val="nil"/>
              <w:right w:val="nil"/>
            </w:tcBorders>
            <w:vAlign w:val="center"/>
          </w:tcPr>
          <w:p w14:paraId="1AAAEBEB"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A295F21" w14:textId="45FD0CF3" w:rsidR="00D067DF" w:rsidRPr="00011786" w:rsidRDefault="00D067DF" w:rsidP="00E15B47">
            <w:pPr>
              <w:spacing w:after="0"/>
              <w:jc w:val="right"/>
              <w:rPr>
                <w:rFonts w:eastAsia="Times New Roman"/>
                <w:sz w:val="22"/>
                <w:szCs w:val="22"/>
              </w:rPr>
            </w:pPr>
            <w:r w:rsidRPr="00011786">
              <w:rPr>
                <w:color w:val="000000"/>
                <w:sz w:val="22"/>
                <w:szCs w:val="22"/>
              </w:rPr>
              <w:t>8.34</w:t>
            </w:r>
          </w:p>
        </w:tc>
        <w:tc>
          <w:tcPr>
            <w:tcW w:w="323" w:type="dxa"/>
            <w:tcBorders>
              <w:top w:val="nil"/>
              <w:left w:val="nil"/>
              <w:bottom w:val="nil"/>
              <w:right w:val="nil"/>
            </w:tcBorders>
            <w:vAlign w:val="center"/>
          </w:tcPr>
          <w:p w14:paraId="28751760"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2F0E8B21" w14:textId="1418EF8C" w:rsidR="00D067DF" w:rsidRPr="00011786" w:rsidRDefault="00D067DF" w:rsidP="00E15B47">
            <w:pPr>
              <w:spacing w:after="0"/>
              <w:jc w:val="right"/>
              <w:rPr>
                <w:rFonts w:eastAsia="Times New Roman"/>
                <w:sz w:val="22"/>
                <w:szCs w:val="22"/>
              </w:rPr>
            </w:pPr>
            <w:r w:rsidRPr="00011786">
              <w:rPr>
                <w:color w:val="000000"/>
                <w:sz w:val="22"/>
                <w:szCs w:val="22"/>
              </w:rPr>
              <w:t>8.14</w:t>
            </w:r>
          </w:p>
        </w:tc>
        <w:tc>
          <w:tcPr>
            <w:tcW w:w="625" w:type="dxa"/>
            <w:tcBorders>
              <w:top w:val="nil"/>
              <w:left w:val="nil"/>
              <w:bottom w:val="nil"/>
              <w:right w:val="single" w:sz="4" w:space="0" w:color="auto"/>
            </w:tcBorders>
            <w:vAlign w:val="center"/>
          </w:tcPr>
          <w:p w14:paraId="103336C7" w14:textId="714CC02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7C93634" w14:textId="77777777" w:rsidR="00D067DF" w:rsidRPr="00011786" w:rsidRDefault="00D067DF" w:rsidP="00011786">
            <w:pPr>
              <w:spacing w:after="0"/>
              <w:rPr>
                <w:rFonts w:eastAsia="Times New Roman"/>
                <w:sz w:val="22"/>
                <w:szCs w:val="22"/>
              </w:rPr>
            </w:pPr>
            <w:r w:rsidRPr="00011786">
              <w:rPr>
                <w:color w:val="000000"/>
                <w:sz w:val="22"/>
                <w:szCs w:val="22"/>
              </w:rPr>
              <w:t>Okaloosa</w:t>
            </w:r>
          </w:p>
        </w:tc>
        <w:tc>
          <w:tcPr>
            <w:tcW w:w="744" w:type="dxa"/>
            <w:tcBorders>
              <w:top w:val="nil"/>
              <w:left w:val="nil"/>
              <w:bottom w:val="nil"/>
              <w:right w:val="nil"/>
            </w:tcBorders>
            <w:vAlign w:val="center"/>
          </w:tcPr>
          <w:p w14:paraId="1D312E6D" w14:textId="77777777" w:rsidR="00D067DF" w:rsidRPr="00011786" w:rsidRDefault="00D067DF" w:rsidP="00011786">
            <w:pPr>
              <w:spacing w:after="0"/>
              <w:jc w:val="right"/>
              <w:rPr>
                <w:color w:val="000000"/>
                <w:sz w:val="22"/>
                <w:szCs w:val="22"/>
              </w:rPr>
            </w:pPr>
            <w:r w:rsidRPr="00011786">
              <w:rPr>
                <w:color w:val="000000"/>
                <w:sz w:val="22"/>
                <w:szCs w:val="22"/>
              </w:rPr>
              <w:t>11</w:t>
            </w:r>
          </w:p>
        </w:tc>
        <w:tc>
          <w:tcPr>
            <w:tcW w:w="240" w:type="dxa"/>
            <w:tcBorders>
              <w:top w:val="nil"/>
              <w:left w:val="nil"/>
              <w:bottom w:val="nil"/>
              <w:right w:val="nil"/>
            </w:tcBorders>
            <w:vAlign w:val="center"/>
          </w:tcPr>
          <w:p w14:paraId="02CED4A8"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7E9CB575" w14:textId="35D2B388" w:rsidR="00D067DF" w:rsidRPr="00011786" w:rsidRDefault="00D067DF" w:rsidP="00011786">
            <w:pPr>
              <w:spacing w:after="0"/>
              <w:jc w:val="right"/>
              <w:rPr>
                <w:rFonts w:eastAsia="Times New Roman"/>
                <w:sz w:val="22"/>
                <w:szCs w:val="22"/>
              </w:rPr>
            </w:pPr>
            <w:r w:rsidRPr="00011786">
              <w:rPr>
                <w:color w:val="000000"/>
                <w:sz w:val="22"/>
                <w:szCs w:val="22"/>
              </w:rPr>
              <w:t>6.3</w:t>
            </w:r>
            <w:r w:rsidR="00FD7DA6" w:rsidRPr="00011786">
              <w:rPr>
                <w:color w:val="000000"/>
                <w:sz w:val="22"/>
                <w:szCs w:val="22"/>
              </w:rPr>
              <w:t>9</w:t>
            </w:r>
          </w:p>
        </w:tc>
        <w:tc>
          <w:tcPr>
            <w:tcW w:w="248" w:type="dxa"/>
            <w:tcBorders>
              <w:top w:val="nil"/>
              <w:left w:val="nil"/>
              <w:bottom w:val="nil"/>
              <w:right w:val="nil"/>
            </w:tcBorders>
            <w:vAlign w:val="center"/>
          </w:tcPr>
          <w:p w14:paraId="72C289D7"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53C0E854" w14:textId="758F6813" w:rsidR="00D067DF" w:rsidRPr="00011786" w:rsidRDefault="00D067DF" w:rsidP="00011786">
            <w:pPr>
              <w:spacing w:after="0"/>
              <w:jc w:val="right"/>
              <w:rPr>
                <w:rFonts w:eastAsia="Times New Roman"/>
                <w:sz w:val="22"/>
                <w:szCs w:val="22"/>
              </w:rPr>
            </w:pPr>
            <w:r w:rsidRPr="00011786">
              <w:rPr>
                <w:color w:val="000000"/>
                <w:sz w:val="22"/>
                <w:szCs w:val="22"/>
              </w:rPr>
              <w:t>6.08</w:t>
            </w:r>
          </w:p>
        </w:tc>
        <w:tc>
          <w:tcPr>
            <w:tcW w:w="556" w:type="dxa"/>
            <w:tcBorders>
              <w:top w:val="nil"/>
              <w:left w:val="nil"/>
              <w:bottom w:val="nil"/>
              <w:right w:val="nil"/>
            </w:tcBorders>
            <w:vAlign w:val="center"/>
          </w:tcPr>
          <w:p w14:paraId="2A9DBA4F" w14:textId="77777777" w:rsidR="00D067DF" w:rsidRPr="00011786" w:rsidRDefault="00D067DF" w:rsidP="00011786">
            <w:pPr>
              <w:spacing w:after="0"/>
              <w:jc w:val="right"/>
              <w:rPr>
                <w:rFonts w:eastAsia="Times New Roman"/>
                <w:sz w:val="22"/>
                <w:szCs w:val="22"/>
              </w:rPr>
            </w:pPr>
          </w:p>
        </w:tc>
      </w:tr>
      <w:tr w:rsidR="00F949D4" w:rsidRPr="004E2B94" w14:paraId="73DC475E" w14:textId="77777777" w:rsidTr="00E15B47">
        <w:trPr>
          <w:trHeight w:val="288"/>
        </w:trPr>
        <w:tc>
          <w:tcPr>
            <w:tcW w:w="1439" w:type="dxa"/>
            <w:tcBorders>
              <w:top w:val="nil"/>
              <w:left w:val="nil"/>
              <w:bottom w:val="nil"/>
              <w:right w:val="nil"/>
            </w:tcBorders>
            <w:vAlign w:val="center"/>
          </w:tcPr>
          <w:p w14:paraId="4643B4C7" w14:textId="77777777" w:rsidR="00F949D4" w:rsidRPr="00011786" w:rsidRDefault="00F949D4" w:rsidP="00F949D4">
            <w:pPr>
              <w:spacing w:after="0"/>
              <w:rPr>
                <w:i/>
                <w:sz w:val="22"/>
                <w:szCs w:val="22"/>
              </w:rPr>
            </w:pPr>
            <w:r w:rsidRPr="00011786">
              <w:rPr>
                <w:color w:val="000000"/>
                <w:sz w:val="22"/>
                <w:szCs w:val="22"/>
              </w:rPr>
              <w:t>DeSoto</w:t>
            </w:r>
          </w:p>
        </w:tc>
        <w:tc>
          <w:tcPr>
            <w:tcW w:w="628" w:type="dxa"/>
            <w:tcBorders>
              <w:top w:val="nil"/>
              <w:left w:val="nil"/>
              <w:bottom w:val="nil"/>
              <w:right w:val="nil"/>
            </w:tcBorders>
            <w:vAlign w:val="center"/>
          </w:tcPr>
          <w:p w14:paraId="2E7B0F16" w14:textId="77777777" w:rsidR="00F949D4" w:rsidRPr="00011786" w:rsidRDefault="00F949D4" w:rsidP="00F949D4">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41FE89B2"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5CF54F2C" w14:textId="1CC37C9E" w:rsidR="00F949D4" w:rsidRPr="00011786" w:rsidRDefault="00F949D4" w:rsidP="00F949D4">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348AEA85"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nil"/>
              <w:right w:val="nil"/>
            </w:tcBorders>
            <w:vAlign w:val="center"/>
          </w:tcPr>
          <w:p w14:paraId="5053BEFE" w14:textId="1BAA7918" w:rsidR="00F949D4" w:rsidRPr="00011786" w:rsidRDefault="00F949D4" w:rsidP="00F949D4">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49EB3F33" w14:textId="4E6C872F"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0E456CD" w14:textId="77777777" w:rsidR="00F949D4" w:rsidRPr="00011786" w:rsidRDefault="00F949D4" w:rsidP="00F949D4">
            <w:pPr>
              <w:spacing w:after="0"/>
              <w:rPr>
                <w:rFonts w:eastAsia="Times New Roman"/>
                <w:sz w:val="22"/>
                <w:szCs w:val="22"/>
              </w:rPr>
            </w:pPr>
            <w:r w:rsidRPr="00011786">
              <w:rPr>
                <w:color w:val="000000"/>
                <w:sz w:val="22"/>
                <w:szCs w:val="22"/>
              </w:rPr>
              <w:t>Okeechobee</w:t>
            </w:r>
          </w:p>
        </w:tc>
        <w:tc>
          <w:tcPr>
            <w:tcW w:w="744" w:type="dxa"/>
            <w:tcBorders>
              <w:top w:val="nil"/>
              <w:left w:val="nil"/>
              <w:bottom w:val="nil"/>
              <w:right w:val="nil"/>
            </w:tcBorders>
            <w:vAlign w:val="center"/>
          </w:tcPr>
          <w:p w14:paraId="32E2D70E" w14:textId="350E401D" w:rsidR="00F949D4" w:rsidRPr="00011786" w:rsidRDefault="00F949D4" w:rsidP="00F949D4">
            <w:pPr>
              <w:spacing w:after="0"/>
              <w:jc w:val="right"/>
              <w:rPr>
                <w:color w:val="000000"/>
                <w:sz w:val="22"/>
                <w:szCs w:val="22"/>
              </w:rPr>
            </w:pPr>
            <w:r w:rsidRPr="00E15B47">
              <w:rPr>
                <w:color w:val="000000"/>
                <w:sz w:val="22"/>
                <w:szCs w:val="22"/>
              </w:rPr>
              <w:t>–</w:t>
            </w:r>
          </w:p>
        </w:tc>
        <w:tc>
          <w:tcPr>
            <w:tcW w:w="240" w:type="dxa"/>
            <w:tcBorders>
              <w:top w:val="nil"/>
              <w:left w:val="nil"/>
              <w:bottom w:val="nil"/>
              <w:right w:val="nil"/>
            </w:tcBorders>
            <w:vAlign w:val="center"/>
          </w:tcPr>
          <w:p w14:paraId="43611318"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67D209F2" w14:textId="69AFB022"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248" w:type="dxa"/>
            <w:tcBorders>
              <w:top w:val="nil"/>
              <w:left w:val="nil"/>
              <w:bottom w:val="nil"/>
              <w:right w:val="nil"/>
            </w:tcBorders>
            <w:vAlign w:val="center"/>
          </w:tcPr>
          <w:p w14:paraId="020AD743"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7E2665D8" w14:textId="1DDB9BA5"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556" w:type="dxa"/>
            <w:tcBorders>
              <w:top w:val="nil"/>
              <w:left w:val="nil"/>
              <w:bottom w:val="nil"/>
              <w:right w:val="nil"/>
            </w:tcBorders>
            <w:vAlign w:val="center"/>
          </w:tcPr>
          <w:p w14:paraId="221DFF6A" w14:textId="77777777" w:rsidR="00F949D4" w:rsidRPr="00011786" w:rsidRDefault="00F949D4" w:rsidP="00F949D4">
            <w:pPr>
              <w:spacing w:after="0"/>
              <w:jc w:val="right"/>
              <w:rPr>
                <w:rFonts w:eastAsia="Times New Roman"/>
                <w:sz w:val="22"/>
                <w:szCs w:val="22"/>
              </w:rPr>
            </w:pPr>
          </w:p>
        </w:tc>
      </w:tr>
      <w:tr w:rsidR="00011786" w:rsidRPr="004E2B94" w14:paraId="481699A4" w14:textId="77777777" w:rsidTr="00E15B47">
        <w:trPr>
          <w:trHeight w:val="288"/>
        </w:trPr>
        <w:tc>
          <w:tcPr>
            <w:tcW w:w="1439" w:type="dxa"/>
            <w:tcBorders>
              <w:top w:val="nil"/>
              <w:left w:val="nil"/>
              <w:bottom w:val="nil"/>
              <w:right w:val="nil"/>
            </w:tcBorders>
            <w:vAlign w:val="center"/>
          </w:tcPr>
          <w:p w14:paraId="64AAD463" w14:textId="77777777" w:rsidR="00D067DF" w:rsidRPr="00011786" w:rsidRDefault="00D067DF" w:rsidP="00011786">
            <w:pPr>
              <w:spacing w:after="0"/>
              <w:rPr>
                <w:i/>
                <w:sz w:val="22"/>
                <w:szCs w:val="22"/>
              </w:rPr>
            </w:pPr>
            <w:r w:rsidRPr="00011786">
              <w:rPr>
                <w:color w:val="000000"/>
                <w:sz w:val="22"/>
                <w:szCs w:val="22"/>
              </w:rPr>
              <w:t>Dixie</w:t>
            </w:r>
          </w:p>
        </w:tc>
        <w:tc>
          <w:tcPr>
            <w:tcW w:w="628" w:type="dxa"/>
            <w:tcBorders>
              <w:top w:val="nil"/>
              <w:left w:val="nil"/>
              <w:bottom w:val="nil"/>
              <w:right w:val="nil"/>
            </w:tcBorders>
            <w:vAlign w:val="center"/>
          </w:tcPr>
          <w:p w14:paraId="08A2C1E5"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66F51F31"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4BA930F" w14:textId="2CED118A"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06AF4728"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0D4980E8" w14:textId="75F46023"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64A894BE" w14:textId="5B8133D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325F2540" w14:textId="77777777" w:rsidR="00D067DF" w:rsidRPr="00011786" w:rsidRDefault="00D067DF" w:rsidP="00011786">
            <w:pPr>
              <w:spacing w:after="0"/>
              <w:rPr>
                <w:rFonts w:eastAsia="Times New Roman"/>
                <w:sz w:val="22"/>
                <w:szCs w:val="22"/>
              </w:rPr>
            </w:pPr>
            <w:r w:rsidRPr="00011786">
              <w:rPr>
                <w:color w:val="000000"/>
                <w:sz w:val="22"/>
                <w:szCs w:val="22"/>
              </w:rPr>
              <w:t>Orange</w:t>
            </w:r>
          </w:p>
        </w:tc>
        <w:tc>
          <w:tcPr>
            <w:tcW w:w="744" w:type="dxa"/>
            <w:tcBorders>
              <w:top w:val="nil"/>
              <w:left w:val="nil"/>
              <w:bottom w:val="nil"/>
              <w:right w:val="nil"/>
            </w:tcBorders>
            <w:vAlign w:val="center"/>
          </w:tcPr>
          <w:p w14:paraId="0724D521" w14:textId="77777777" w:rsidR="00D067DF" w:rsidRPr="00011786" w:rsidRDefault="00D067DF" w:rsidP="00011786">
            <w:pPr>
              <w:spacing w:after="0"/>
              <w:jc w:val="right"/>
              <w:rPr>
                <w:color w:val="000000"/>
                <w:sz w:val="22"/>
                <w:szCs w:val="22"/>
              </w:rPr>
            </w:pPr>
            <w:r w:rsidRPr="00011786">
              <w:rPr>
                <w:color w:val="000000"/>
                <w:sz w:val="22"/>
                <w:szCs w:val="22"/>
              </w:rPr>
              <w:t>137</w:t>
            </w:r>
          </w:p>
        </w:tc>
        <w:tc>
          <w:tcPr>
            <w:tcW w:w="240" w:type="dxa"/>
            <w:tcBorders>
              <w:top w:val="nil"/>
              <w:left w:val="nil"/>
              <w:bottom w:val="nil"/>
              <w:right w:val="nil"/>
            </w:tcBorders>
            <w:vAlign w:val="center"/>
          </w:tcPr>
          <w:p w14:paraId="2B111467"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7A1134F2" w14:textId="2F929605" w:rsidR="00D067DF" w:rsidRPr="00011786" w:rsidRDefault="00D067DF" w:rsidP="00011786">
            <w:pPr>
              <w:spacing w:after="0"/>
              <w:jc w:val="right"/>
              <w:rPr>
                <w:rFonts w:eastAsia="Times New Roman"/>
                <w:sz w:val="22"/>
                <w:szCs w:val="22"/>
              </w:rPr>
            </w:pPr>
            <w:r w:rsidRPr="00011786">
              <w:rPr>
                <w:color w:val="000000"/>
                <w:sz w:val="22"/>
                <w:szCs w:val="22"/>
              </w:rPr>
              <w:t>12.12</w:t>
            </w:r>
          </w:p>
        </w:tc>
        <w:tc>
          <w:tcPr>
            <w:tcW w:w="248" w:type="dxa"/>
            <w:tcBorders>
              <w:top w:val="nil"/>
              <w:left w:val="nil"/>
              <w:bottom w:val="nil"/>
              <w:right w:val="nil"/>
            </w:tcBorders>
            <w:vAlign w:val="center"/>
          </w:tcPr>
          <w:p w14:paraId="4E84AA30"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49487CD9" w14:textId="0EE80074" w:rsidR="00D067DF" w:rsidRPr="00011786" w:rsidRDefault="00D067DF" w:rsidP="00011786">
            <w:pPr>
              <w:spacing w:after="0"/>
              <w:jc w:val="right"/>
              <w:rPr>
                <w:rFonts w:eastAsia="Times New Roman"/>
                <w:sz w:val="22"/>
                <w:szCs w:val="22"/>
              </w:rPr>
            </w:pPr>
            <w:r w:rsidRPr="00011786">
              <w:rPr>
                <w:color w:val="000000"/>
                <w:sz w:val="22"/>
                <w:szCs w:val="22"/>
              </w:rPr>
              <w:t>10.88</w:t>
            </w:r>
          </w:p>
        </w:tc>
        <w:tc>
          <w:tcPr>
            <w:tcW w:w="556" w:type="dxa"/>
            <w:tcBorders>
              <w:top w:val="nil"/>
              <w:left w:val="nil"/>
              <w:bottom w:val="nil"/>
              <w:right w:val="nil"/>
            </w:tcBorders>
            <w:vAlign w:val="center"/>
          </w:tcPr>
          <w:p w14:paraId="7CEA6AF8" w14:textId="77777777" w:rsidR="00D067DF" w:rsidRPr="00011786" w:rsidRDefault="00D067DF" w:rsidP="00011786">
            <w:pPr>
              <w:spacing w:after="0"/>
              <w:jc w:val="right"/>
              <w:rPr>
                <w:rFonts w:eastAsia="Times New Roman"/>
                <w:sz w:val="22"/>
                <w:szCs w:val="22"/>
              </w:rPr>
            </w:pPr>
          </w:p>
        </w:tc>
      </w:tr>
      <w:tr w:rsidR="00011786" w:rsidRPr="004E2B94" w14:paraId="102B45C1" w14:textId="77777777" w:rsidTr="00E15B47">
        <w:trPr>
          <w:trHeight w:val="288"/>
        </w:trPr>
        <w:tc>
          <w:tcPr>
            <w:tcW w:w="1439" w:type="dxa"/>
            <w:tcBorders>
              <w:top w:val="nil"/>
              <w:left w:val="nil"/>
              <w:bottom w:val="nil"/>
              <w:right w:val="nil"/>
            </w:tcBorders>
            <w:vAlign w:val="center"/>
          </w:tcPr>
          <w:p w14:paraId="2610F1A3" w14:textId="77777777" w:rsidR="00D067DF" w:rsidRPr="00011786" w:rsidRDefault="00D067DF" w:rsidP="00011786">
            <w:pPr>
              <w:spacing w:after="0"/>
              <w:rPr>
                <w:i/>
                <w:sz w:val="22"/>
                <w:szCs w:val="22"/>
              </w:rPr>
            </w:pPr>
            <w:r w:rsidRPr="00011786">
              <w:rPr>
                <w:color w:val="000000"/>
                <w:sz w:val="22"/>
                <w:szCs w:val="22"/>
              </w:rPr>
              <w:t>Duval</w:t>
            </w:r>
          </w:p>
        </w:tc>
        <w:tc>
          <w:tcPr>
            <w:tcW w:w="628" w:type="dxa"/>
            <w:tcBorders>
              <w:top w:val="nil"/>
              <w:left w:val="nil"/>
              <w:bottom w:val="nil"/>
              <w:right w:val="nil"/>
            </w:tcBorders>
            <w:vAlign w:val="center"/>
          </w:tcPr>
          <w:p w14:paraId="7312B182" w14:textId="77777777" w:rsidR="00D067DF" w:rsidRPr="00011786" w:rsidRDefault="00D067DF" w:rsidP="00E15B47">
            <w:pPr>
              <w:spacing w:after="0"/>
              <w:jc w:val="right"/>
              <w:rPr>
                <w:color w:val="000000"/>
                <w:sz w:val="22"/>
                <w:szCs w:val="22"/>
              </w:rPr>
            </w:pPr>
            <w:r w:rsidRPr="00011786">
              <w:rPr>
                <w:color w:val="000000"/>
                <w:sz w:val="22"/>
                <w:szCs w:val="22"/>
              </w:rPr>
              <w:t>126</w:t>
            </w:r>
          </w:p>
        </w:tc>
        <w:tc>
          <w:tcPr>
            <w:tcW w:w="236" w:type="dxa"/>
            <w:tcBorders>
              <w:top w:val="nil"/>
              <w:left w:val="nil"/>
              <w:bottom w:val="nil"/>
              <w:right w:val="nil"/>
            </w:tcBorders>
            <w:vAlign w:val="center"/>
          </w:tcPr>
          <w:p w14:paraId="2F30CA61"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7DD0B257" w14:textId="7BDCA937" w:rsidR="00D067DF" w:rsidRPr="00011786" w:rsidRDefault="00D067DF" w:rsidP="00E15B47">
            <w:pPr>
              <w:spacing w:after="0"/>
              <w:jc w:val="right"/>
              <w:rPr>
                <w:rFonts w:eastAsia="Times New Roman"/>
                <w:sz w:val="22"/>
                <w:szCs w:val="22"/>
              </w:rPr>
            </w:pPr>
            <w:r w:rsidRPr="00011786">
              <w:rPr>
                <w:color w:val="000000"/>
                <w:sz w:val="22"/>
                <w:szCs w:val="22"/>
              </w:rPr>
              <w:t>15.90</w:t>
            </w:r>
          </w:p>
        </w:tc>
        <w:tc>
          <w:tcPr>
            <w:tcW w:w="323" w:type="dxa"/>
            <w:tcBorders>
              <w:top w:val="nil"/>
              <w:left w:val="nil"/>
              <w:bottom w:val="nil"/>
              <w:right w:val="nil"/>
            </w:tcBorders>
            <w:vAlign w:val="center"/>
          </w:tcPr>
          <w:p w14:paraId="75FFE3A3"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74CCCCE3" w14:textId="3B19176D" w:rsidR="00D067DF" w:rsidRPr="00011786" w:rsidRDefault="00D067DF" w:rsidP="00E15B47">
            <w:pPr>
              <w:spacing w:after="0"/>
              <w:jc w:val="right"/>
              <w:rPr>
                <w:rFonts w:eastAsia="Times New Roman"/>
                <w:sz w:val="22"/>
                <w:szCs w:val="22"/>
              </w:rPr>
            </w:pPr>
            <w:r w:rsidRPr="00011786">
              <w:rPr>
                <w:color w:val="000000"/>
                <w:sz w:val="22"/>
                <w:szCs w:val="22"/>
              </w:rPr>
              <w:t>14.71</w:t>
            </w:r>
          </w:p>
        </w:tc>
        <w:tc>
          <w:tcPr>
            <w:tcW w:w="625" w:type="dxa"/>
            <w:tcBorders>
              <w:top w:val="nil"/>
              <w:left w:val="nil"/>
              <w:bottom w:val="nil"/>
              <w:right w:val="single" w:sz="4" w:space="0" w:color="auto"/>
            </w:tcBorders>
            <w:vAlign w:val="center"/>
          </w:tcPr>
          <w:p w14:paraId="4A56C245" w14:textId="45A56AD2"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D67A4E8" w14:textId="77777777" w:rsidR="00D067DF" w:rsidRPr="00011786" w:rsidRDefault="00D067DF" w:rsidP="00011786">
            <w:pPr>
              <w:spacing w:after="0"/>
              <w:rPr>
                <w:rFonts w:eastAsia="Times New Roman"/>
                <w:sz w:val="22"/>
                <w:szCs w:val="22"/>
              </w:rPr>
            </w:pPr>
            <w:r w:rsidRPr="00011786">
              <w:rPr>
                <w:color w:val="000000"/>
                <w:sz w:val="22"/>
                <w:szCs w:val="22"/>
              </w:rPr>
              <w:t>Osceola</w:t>
            </w:r>
          </w:p>
        </w:tc>
        <w:tc>
          <w:tcPr>
            <w:tcW w:w="744" w:type="dxa"/>
            <w:tcBorders>
              <w:top w:val="nil"/>
              <w:left w:val="nil"/>
              <w:bottom w:val="nil"/>
              <w:right w:val="nil"/>
            </w:tcBorders>
            <w:vAlign w:val="center"/>
          </w:tcPr>
          <w:p w14:paraId="0C2E624D" w14:textId="77777777" w:rsidR="00D067DF" w:rsidRPr="00011786" w:rsidRDefault="00D067DF" w:rsidP="00011786">
            <w:pPr>
              <w:spacing w:after="0"/>
              <w:jc w:val="right"/>
              <w:rPr>
                <w:color w:val="000000"/>
                <w:sz w:val="22"/>
                <w:szCs w:val="22"/>
              </w:rPr>
            </w:pPr>
            <w:r w:rsidRPr="00011786">
              <w:rPr>
                <w:color w:val="000000"/>
                <w:sz w:val="22"/>
                <w:szCs w:val="22"/>
              </w:rPr>
              <w:t>37</w:t>
            </w:r>
          </w:p>
        </w:tc>
        <w:tc>
          <w:tcPr>
            <w:tcW w:w="240" w:type="dxa"/>
            <w:tcBorders>
              <w:top w:val="nil"/>
              <w:left w:val="nil"/>
              <w:bottom w:val="nil"/>
              <w:right w:val="nil"/>
            </w:tcBorders>
            <w:vAlign w:val="center"/>
          </w:tcPr>
          <w:p w14:paraId="6A7DEDED"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2F510259" w14:textId="69EF6387" w:rsidR="00D067DF" w:rsidRPr="00011786" w:rsidRDefault="00D067DF" w:rsidP="00011786">
            <w:pPr>
              <w:spacing w:after="0"/>
              <w:jc w:val="right"/>
              <w:rPr>
                <w:rFonts w:eastAsia="Times New Roman"/>
                <w:sz w:val="22"/>
                <w:szCs w:val="22"/>
              </w:rPr>
            </w:pPr>
            <w:r w:rsidRPr="00011786">
              <w:rPr>
                <w:color w:val="000000"/>
                <w:sz w:val="22"/>
                <w:szCs w:val="22"/>
              </w:rPr>
              <w:t>13.</w:t>
            </w:r>
            <w:r w:rsidR="00FD7DA6" w:rsidRPr="00011786">
              <w:rPr>
                <w:color w:val="000000"/>
                <w:sz w:val="22"/>
                <w:szCs w:val="22"/>
              </w:rPr>
              <w:t>10</w:t>
            </w:r>
          </w:p>
        </w:tc>
        <w:tc>
          <w:tcPr>
            <w:tcW w:w="248" w:type="dxa"/>
            <w:tcBorders>
              <w:top w:val="nil"/>
              <w:left w:val="nil"/>
              <w:bottom w:val="nil"/>
              <w:right w:val="nil"/>
            </w:tcBorders>
            <w:vAlign w:val="center"/>
          </w:tcPr>
          <w:p w14:paraId="7759E4DC"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7C1D81A6" w14:textId="75661CBB" w:rsidR="00D067DF" w:rsidRPr="00011786" w:rsidRDefault="00D067DF" w:rsidP="00011786">
            <w:pPr>
              <w:spacing w:after="0"/>
              <w:jc w:val="right"/>
              <w:rPr>
                <w:rFonts w:eastAsia="Times New Roman"/>
                <w:sz w:val="22"/>
                <w:szCs w:val="22"/>
              </w:rPr>
            </w:pPr>
            <w:r w:rsidRPr="00011786">
              <w:rPr>
                <w:color w:val="000000"/>
                <w:sz w:val="22"/>
                <w:szCs w:val="22"/>
              </w:rPr>
              <w:t>12.18</w:t>
            </w:r>
          </w:p>
        </w:tc>
        <w:tc>
          <w:tcPr>
            <w:tcW w:w="556" w:type="dxa"/>
            <w:tcBorders>
              <w:top w:val="nil"/>
              <w:left w:val="nil"/>
              <w:bottom w:val="nil"/>
              <w:right w:val="nil"/>
            </w:tcBorders>
            <w:vAlign w:val="center"/>
          </w:tcPr>
          <w:p w14:paraId="1303B45E" w14:textId="77777777" w:rsidR="00D067DF" w:rsidRPr="00011786" w:rsidRDefault="00D067DF" w:rsidP="00011786">
            <w:pPr>
              <w:spacing w:after="0"/>
              <w:jc w:val="right"/>
              <w:rPr>
                <w:rFonts w:eastAsia="Times New Roman"/>
                <w:sz w:val="22"/>
                <w:szCs w:val="22"/>
              </w:rPr>
            </w:pPr>
          </w:p>
        </w:tc>
      </w:tr>
      <w:tr w:rsidR="00011786" w:rsidRPr="004E2B94" w14:paraId="1F3213A3" w14:textId="77777777" w:rsidTr="00E15B47">
        <w:trPr>
          <w:trHeight w:val="288"/>
        </w:trPr>
        <w:tc>
          <w:tcPr>
            <w:tcW w:w="1439" w:type="dxa"/>
            <w:tcBorders>
              <w:top w:val="nil"/>
              <w:left w:val="nil"/>
              <w:bottom w:val="nil"/>
              <w:right w:val="nil"/>
            </w:tcBorders>
            <w:vAlign w:val="center"/>
          </w:tcPr>
          <w:p w14:paraId="671FBB27" w14:textId="77777777" w:rsidR="00D067DF" w:rsidRPr="00011786" w:rsidRDefault="00D067DF" w:rsidP="00011786">
            <w:pPr>
              <w:spacing w:after="0"/>
              <w:rPr>
                <w:i/>
                <w:sz w:val="22"/>
                <w:szCs w:val="22"/>
              </w:rPr>
            </w:pPr>
            <w:r w:rsidRPr="00011786">
              <w:rPr>
                <w:color w:val="000000"/>
                <w:sz w:val="22"/>
                <w:szCs w:val="22"/>
              </w:rPr>
              <w:t>Escambia</w:t>
            </w:r>
          </w:p>
        </w:tc>
        <w:tc>
          <w:tcPr>
            <w:tcW w:w="628" w:type="dxa"/>
            <w:tcBorders>
              <w:top w:val="nil"/>
              <w:left w:val="nil"/>
              <w:bottom w:val="nil"/>
              <w:right w:val="nil"/>
            </w:tcBorders>
            <w:vAlign w:val="center"/>
          </w:tcPr>
          <w:p w14:paraId="475BB04B" w14:textId="77777777" w:rsidR="00D067DF" w:rsidRPr="00011786" w:rsidRDefault="00D067DF" w:rsidP="00E15B47">
            <w:pPr>
              <w:spacing w:after="0"/>
              <w:jc w:val="right"/>
              <w:rPr>
                <w:color w:val="000000"/>
                <w:sz w:val="22"/>
                <w:szCs w:val="22"/>
              </w:rPr>
            </w:pPr>
            <w:r w:rsidRPr="00011786">
              <w:rPr>
                <w:color w:val="000000"/>
                <w:sz w:val="22"/>
                <w:szCs w:val="22"/>
              </w:rPr>
              <w:t>12</w:t>
            </w:r>
          </w:p>
        </w:tc>
        <w:tc>
          <w:tcPr>
            <w:tcW w:w="236" w:type="dxa"/>
            <w:tcBorders>
              <w:top w:val="nil"/>
              <w:left w:val="nil"/>
              <w:bottom w:val="nil"/>
              <w:right w:val="nil"/>
            </w:tcBorders>
            <w:vAlign w:val="center"/>
          </w:tcPr>
          <w:p w14:paraId="23870105"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0D3ED325" w14:textId="5D449ACF" w:rsidR="00D067DF" w:rsidRPr="00011786" w:rsidRDefault="00D067DF" w:rsidP="00E15B47">
            <w:pPr>
              <w:spacing w:after="0"/>
              <w:jc w:val="right"/>
              <w:rPr>
                <w:rFonts w:eastAsia="Times New Roman"/>
                <w:sz w:val="22"/>
                <w:szCs w:val="22"/>
              </w:rPr>
            </w:pPr>
            <w:r w:rsidRPr="00011786">
              <w:rPr>
                <w:color w:val="000000"/>
                <w:sz w:val="22"/>
                <w:szCs w:val="22"/>
              </w:rPr>
              <w:t>4.39</w:t>
            </w:r>
          </w:p>
        </w:tc>
        <w:tc>
          <w:tcPr>
            <w:tcW w:w="323" w:type="dxa"/>
            <w:tcBorders>
              <w:top w:val="nil"/>
              <w:left w:val="nil"/>
              <w:bottom w:val="nil"/>
              <w:right w:val="nil"/>
            </w:tcBorders>
            <w:vAlign w:val="center"/>
          </w:tcPr>
          <w:p w14:paraId="668FBB18"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33096D2C" w14:textId="4CA47C0D" w:rsidR="00D067DF" w:rsidRPr="00011786" w:rsidRDefault="00D067DF" w:rsidP="00E15B47">
            <w:pPr>
              <w:spacing w:after="0"/>
              <w:jc w:val="right"/>
              <w:rPr>
                <w:rFonts w:eastAsia="Times New Roman"/>
                <w:sz w:val="22"/>
                <w:szCs w:val="22"/>
              </w:rPr>
            </w:pPr>
            <w:r w:rsidRPr="00011786">
              <w:rPr>
                <w:color w:val="000000"/>
                <w:sz w:val="22"/>
                <w:szCs w:val="22"/>
              </w:rPr>
              <w:t>4.13</w:t>
            </w:r>
          </w:p>
        </w:tc>
        <w:tc>
          <w:tcPr>
            <w:tcW w:w="625" w:type="dxa"/>
            <w:tcBorders>
              <w:top w:val="nil"/>
              <w:left w:val="nil"/>
              <w:bottom w:val="nil"/>
              <w:right w:val="single" w:sz="4" w:space="0" w:color="auto"/>
            </w:tcBorders>
            <w:vAlign w:val="center"/>
          </w:tcPr>
          <w:p w14:paraId="3E36DA01" w14:textId="111826A8"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9562E9B" w14:textId="77777777" w:rsidR="00D067DF" w:rsidRPr="00011786" w:rsidRDefault="00D067DF" w:rsidP="00011786">
            <w:pPr>
              <w:spacing w:after="0"/>
              <w:rPr>
                <w:rFonts w:eastAsia="Times New Roman"/>
                <w:sz w:val="22"/>
                <w:szCs w:val="22"/>
              </w:rPr>
            </w:pPr>
            <w:r w:rsidRPr="00011786">
              <w:rPr>
                <w:color w:val="000000"/>
                <w:sz w:val="22"/>
                <w:szCs w:val="22"/>
              </w:rPr>
              <w:t>Palm Beach</w:t>
            </w:r>
          </w:p>
        </w:tc>
        <w:tc>
          <w:tcPr>
            <w:tcW w:w="744" w:type="dxa"/>
            <w:tcBorders>
              <w:top w:val="nil"/>
              <w:left w:val="nil"/>
              <w:bottom w:val="nil"/>
              <w:right w:val="nil"/>
            </w:tcBorders>
            <w:vAlign w:val="center"/>
          </w:tcPr>
          <w:p w14:paraId="5A46CCC5" w14:textId="77777777" w:rsidR="00D067DF" w:rsidRPr="00011786" w:rsidRDefault="00D067DF" w:rsidP="00011786">
            <w:pPr>
              <w:spacing w:after="0"/>
              <w:jc w:val="right"/>
              <w:rPr>
                <w:color w:val="000000"/>
                <w:sz w:val="22"/>
                <w:szCs w:val="22"/>
              </w:rPr>
            </w:pPr>
            <w:r w:rsidRPr="00011786">
              <w:rPr>
                <w:color w:val="000000"/>
                <w:sz w:val="22"/>
                <w:szCs w:val="22"/>
              </w:rPr>
              <w:t>183</w:t>
            </w:r>
          </w:p>
        </w:tc>
        <w:tc>
          <w:tcPr>
            <w:tcW w:w="240" w:type="dxa"/>
            <w:tcBorders>
              <w:top w:val="nil"/>
              <w:left w:val="nil"/>
              <w:bottom w:val="nil"/>
              <w:right w:val="nil"/>
            </w:tcBorders>
            <w:vAlign w:val="center"/>
          </w:tcPr>
          <w:p w14:paraId="692A80F3"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0D15D0B0" w14:textId="23344D19" w:rsidR="00D067DF" w:rsidRPr="00011786" w:rsidRDefault="00D067DF" w:rsidP="00011786">
            <w:pPr>
              <w:spacing w:after="0"/>
              <w:jc w:val="right"/>
              <w:rPr>
                <w:rFonts w:eastAsia="Times New Roman"/>
                <w:sz w:val="22"/>
                <w:szCs w:val="22"/>
              </w:rPr>
            </w:pPr>
            <w:r w:rsidRPr="00011786">
              <w:rPr>
                <w:color w:val="000000"/>
                <w:sz w:val="22"/>
                <w:szCs w:val="22"/>
              </w:rPr>
              <w:t>14.3</w:t>
            </w:r>
            <w:r w:rsidR="00FD7DA6" w:rsidRPr="00011786">
              <w:rPr>
                <w:color w:val="000000"/>
                <w:sz w:val="22"/>
                <w:szCs w:val="22"/>
              </w:rPr>
              <w:t>4</w:t>
            </w:r>
          </w:p>
        </w:tc>
        <w:tc>
          <w:tcPr>
            <w:tcW w:w="248" w:type="dxa"/>
            <w:tcBorders>
              <w:top w:val="nil"/>
              <w:left w:val="nil"/>
              <w:bottom w:val="nil"/>
              <w:right w:val="nil"/>
            </w:tcBorders>
            <w:vAlign w:val="center"/>
          </w:tcPr>
          <w:p w14:paraId="13690894"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1EA1CCE3" w14:textId="696933C8" w:rsidR="00D067DF" w:rsidRPr="00011786" w:rsidRDefault="00D067DF" w:rsidP="00011786">
            <w:pPr>
              <w:spacing w:after="0"/>
              <w:jc w:val="right"/>
              <w:rPr>
                <w:rFonts w:eastAsia="Times New Roman"/>
                <w:sz w:val="22"/>
                <w:szCs w:val="22"/>
              </w:rPr>
            </w:pPr>
            <w:r w:rsidRPr="00011786">
              <w:rPr>
                <w:color w:val="000000"/>
                <w:sz w:val="22"/>
                <w:szCs w:val="22"/>
              </w:rPr>
              <w:t>15.45</w:t>
            </w:r>
          </w:p>
        </w:tc>
        <w:tc>
          <w:tcPr>
            <w:tcW w:w="556" w:type="dxa"/>
            <w:tcBorders>
              <w:top w:val="nil"/>
              <w:left w:val="nil"/>
              <w:bottom w:val="nil"/>
              <w:right w:val="nil"/>
            </w:tcBorders>
            <w:vAlign w:val="center"/>
          </w:tcPr>
          <w:p w14:paraId="403DD571" w14:textId="77777777" w:rsidR="00D067DF" w:rsidRPr="00011786" w:rsidRDefault="00D067DF" w:rsidP="00011786">
            <w:pPr>
              <w:spacing w:after="0"/>
              <w:jc w:val="right"/>
              <w:rPr>
                <w:rFonts w:eastAsia="Times New Roman"/>
                <w:sz w:val="22"/>
                <w:szCs w:val="22"/>
              </w:rPr>
            </w:pPr>
          </w:p>
        </w:tc>
      </w:tr>
      <w:tr w:rsidR="00011786" w:rsidRPr="004E2B94" w14:paraId="53B2F613" w14:textId="77777777" w:rsidTr="00E15B47">
        <w:trPr>
          <w:trHeight w:val="288"/>
        </w:trPr>
        <w:tc>
          <w:tcPr>
            <w:tcW w:w="1439" w:type="dxa"/>
            <w:tcBorders>
              <w:top w:val="nil"/>
              <w:left w:val="nil"/>
              <w:bottom w:val="nil"/>
              <w:right w:val="nil"/>
            </w:tcBorders>
            <w:vAlign w:val="center"/>
          </w:tcPr>
          <w:p w14:paraId="5F2827E8" w14:textId="77777777" w:rsidR="00D067DF" w:rsidRPr="00011786" w:rsidRDefault="00D067DF" w:rsidP="00011786">
            <w:pPr>
              <w:spacing w:after="0"/>
              <w:rPr>
                <w:i/>
                <w:sz w:val="22"/>
                <w:szCs w:val="22"/>
              </w:rPr>
            </w:pPr>
            <w:r w:rsidRPr="00011786">
              <w:rPr>
                <w:color w:val="000000"/>
                <w:sz w:val="22"/>
                <w:szCs w:val="22"/>
              </w:rPr>
              <w:t>Flagler</w:t>
            </w:r>
          </w:p>
        </w:tc>
        <w:tc>
          <w:tcPr>
            <w:tcW w:w="628" w:type="dxa"/>
            <w:tcBorders>
              <w:top w:val="nil"/>
              <w:left w:val="nil"/>
              <w:bottom w:val="nil"/>
              <w:right w:val="nil"/>
            </w:tcBorders>
            <w:vAlign w:val="center"/>
          </w:tcPr>
          <w:p w14:paraId="228FEB5D" w14:textId="77777777" w:rsidR="00D067DF" w:rsidRPr="00011786" w:rsidRDefault="00D067DF" w:rsidP="00E15B47">
            <w:pPr>
              <w:spacing w:after="0"/>
              <w:jc w:val="right"/>
              <w:rPr>
                <w:color w:val="000000"/>
                <w:sz w:val="22"/>
                <w:szCs w:val="22"/>
              </w:rPr>
            </w:pPr>
            <w:r w:rsidRPr="00011786">
              <w:rPr>
                <w:color w:val="000000"/>
                <w:sz w:val="22"/>
                <w:szCs w:val="22"/>
              </w:rPr>
              <w:t>2</w:t>
            </w:r>
          </w:p>
        </w:tc>
        <w:tc>
          <w:tcPr>
            <w:tcW w:w="236" w:type="dxa"/>
            <w:tcBorders>
              <w:top w:val="nil"/>
              <w:left w:val="nil"/>
              <w:bottom w:val="nil"/>
              <w:right w:val="nil"/>
            </w:tcBorders>
            <w:vAlign w:val="center"/>
          </w:tcPr>
          <w:p w14:paraId="064520D6"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5096140" w14:textId="4EE2C6DC" w:rsidR="00D067DF" w:rsidRPr="00011786" w:rsidRDefault="00D067DF" w:rsidP="00E15B47">
            <w:pPr>
              <w:spacing w:after="0"/>
              <w:jc w:val="right"/>
              <w:rPr>
                <w:rFonts w:eastAsia="Times New Roman"/>
                <w:sz w:val="22"/>
                <w:szCs w:val="22"/>
              </w:rPr>
            </w:pPr>
            <w:r w:rsidRPr="00011786">
              <w:rPr>
                <w:color w:val="000000"/>
                <w:sz w:val="22"/>
                <w:szCs w:val="22"/>
              </w:rPr>
              <w:t>2.09</w:t>
            </w:r>
          </w:p>
        </w:tc>
        <w:tc>
          <w:tcPr>
            <w:tcW w:w="323" w:type="dxa"/>
            <w:tcBorders>
              <w:top w:val="nil"/>
              <w:left w:val="nil"/>
              <w:bottom w:val="nil"/>
              <w:right w:val="nil"/>
            </w:tcBorders>
            <w:vAlign w:val="center"/>
          </w:tcPr>
          <w:p w14:paraId="25DF532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0386E840" w14:textId="5D37D530" w:rsidR="00D067DF" w:rsidRPr="00011786" w:rsidRDefault="00D067DF" w:rsidP="00E15B47">
            <w:pPr>
              <w:spacing w:after="0"/>
              <w:jc w:val="right"/>
              <w:rPr>
                <w:rFonts w:eastAsia="Times New Roman"/>
                <w:sz w:val="22"/>
                <w:szCs w:val="22"/>
              </w:rPr>
            </w:pPr>
            <w:r w:rsidRPr="00011786">
              <w:rPr>
                <w:color w:val="000000"/>
                <w:sz w:val="22"/>
                <w:szCs w:val="22"/>
              </w:rPr>
              <w:t>2.49</w:t>
            </w:r>
          </w:p>
        </w:tc>
        <w:tc>
          <w:tcPr>
            <w:tcW w:w="625" w:type="dxa"/>
            <w:tcBorders>
              <w:top w:val="nil"/>
              <w:left w:val="nil"/>
              <w:bottom w:val="nil"/>
              <w:right w:val="single" w:sz="4" w:space="0" w:color="auto"/>
            </w:tcBorders>
            <w:vAlign w:val="center"/>
          </w:tcPr>
          <w:p w14:paraId="73E48DDE" w14:textId="5366B29F"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222371A4" w14:textId="77777777" w:rsidR="00D067DF" w:rsidRPr="00011786" w:rsidRDefault="00D067DF" w:rsidP="00011786">
            <w:pPr>
              <w:spacing w:after="0"/>
              <w:rPr>
                <w:rFonts w:eastAsia="Times New Roman"/>
                <w:sz w:val="22"/>
                <w:szCs w:val="22"/>
              </w:rPr>
            </w:pPr>
            <w:r w:rsidRPr="00011786">
              <w:rPr>
                <w:color w:val="000000"/>
                <w:sz w:val="22"/>
                <w:szCs w:val="22"/>
              </w:rPr>
              <w:t>Pasco</w:t>
            </w:r>
          </w:p>
        </w:tc>
        <w:tc>
          <w:tcPr>
            <w:tcW w:w="744" w:type="dxa"/>
            <w:tcBorders>
              <w:top w:val="nil"/>
              <w:left w:val="nil"/>
              <w:bottom w:val="nil"/>
              <w:right w:val="nil"/>
            </w:tcBorders>
            <w:vAlign w:val="center"/>
          </w:tcPr>
          <w:p w14:paraId="44CB5AF3" w14:textId="77777777" w:rsidR="00D067DF" w:rsidRPr="00011786" w:rsidRDefault="00D067DF" w:rsidP="00011786">
            <w:pPr>
              <w:spacing w:after="0"/>
              <w:jc w:val="right"/>
              <w:rPr>
                <w:color w:val="000000"/>
                <w:sz w:val="22"/>
                <w:szCs w:val="22"/>
              </w:rPr>
            </w:pPr>
            <w:r w:rsidRPr="00011786">
              <w:rPr>
                <w:color w:val="000000"/>
                <w:sz w:val="22"/>
                <w:szCs w:val="22"/>
              </w:rPr>
              <w:t>33</w:t>
            </w:r>
          </w:p>
        </w:tc>
        <w:tc>
          <w:tcPr>
            <w:tcW w:w="240" w:type="dxa"/>
            <w:tcBorders>
              <w:top w:val="nil"/>
              <w:left w:val="nil"/>
              <w:bottom w:val="nil"/>
              <w:right w:val="nil"/>
            </w:tcBorders>
            <w:vAlign w:val="center"/>
          </w:tcPr>
          <w:p w14:paraId="486CE2DC"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540A7E82" w14:textId="0CFED07D" w:rsidR="00D067DF" w:rsidRPr="00011786" w:rsidRDefault="00D067DF" w:rsidP="00011786">
            <w:pPr>
              <w:spacing w:after="0"/>
              <w:jc w:val="right"/>
              <w:rPr>
                <w:rFonts w:eastAsia="Times New Roman"/>
                <w:sz w:val="22"/>
                <w:szCs w:val="22"/>
              </w:rPr>
            </w:pPr>
            <w:r w:rsidRPr="00011786">
              <w:rPr>
                <w:color w:val="000000"/>
                <w:sz w:val="22"/>
                <w:szCs w:val="22"/>
              </w:rPr>
              <w:t>7.4</w:t>
            </w:r>
            <w:r w:rsidR="00FD7DA6" w:rsidRPr="00011786">
              <w:rPr>
                <w:color w:val="000000"/>
                <w:sz w:val="22"/>
                <w:szCs w:val="22"/>
              </w:rPr>
              <w:t>3</w:t>
            </w:r>
          </w:p>
        </w:tc>
        <w:tc>
          <w:tcPr>
            <w:tcW w:w="248" w:type="dxa"/>
            <w:tcBorders>
              <w:top w:val="nil"/>
              <w:left w:val="nil"/>
              <w:bottom w:val="nil"/>
              <w:right w:val="nil"/>
            </w:tcBorders>
            <w:vAlign w:val="center"/>
          </w:tcPr>
          <w:p w14:paraId="0C11A129"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1447EFCF" w14:textId="03F4779F" w:rsidR="00D067DF" w:rsidRPr="00011786" w:rsidRDefault="00D067DF" w:rsidP="00011786">
            <w:pPr>
              <w:spacing w:after="0"/>
              <w:jc w:val="right"/>
              <w:rPr>
                <w:rFonts w:eastAsia="Times New Roman"/>
                <w:sz w:val="22"/>
                <w:szCs w:val="22"/>
              </w:rPr>
            </w:pPr>
            <w:r w:rsidRPr="00011786">
              <w:rPr>
                <w:color w:val="000000"/>
                <w:sz w:val="22"/>
                <w:szCs w:val="22"/>
              </w:rPr>
              <w:t>7.87</w:t>
            </w:r>
          </w:p>
        </w:tc>
        <w:tc>
          <w:tcPr>
            <w:tcW w:w="556" w:type="dxa"/>
            <w:tcBorders>
              <w:top w:val="nil"/>
              <w:left w:val="nil"/>
              <w:bottom w:val="nil"/>
              <w:right w:val="nil"/>
            </w:tcBorders>
            <w:vAlign w:val="center"/>
          </w:tcPr>
          <w:p w14:paraId="26C7A288" w14:textId="77777777" w:rsidR="00D067DF" w:rsidRPr="00011786" w:rsidRDefault="00D067DF" w:rsidP="00011786">
            <w:pPr>
              <w:spacing w:after="0"/>
              <w:jc w:val="right"/>
              <w:rPr>
                <w:rFonts w:eastAsia="Times New Roman"/>
                <w:sz w:val="22"/>
                <w:szCs w:val="22"/>
              </w:rPr>
            </w:pPr>
          </w:p>
        </w:tc>
      </w:tr>
      <w:tr w:rsidR="00011786" w:rsidRPr="004E2B94" w14:paraId="6CD98188" w14:textId="77777777" w:rsidTr="00E15B47">
        <w:trPr>
          <w:trHeight w:val="288"/>
        </w:trPr>
        <w:tc>
          <w:tcPr>
            <w:tcW w:w="1439" w:type="dxa"/>
            <w:tcBorders>
              <w:top w:val="nil"/>
              <w:left w:val="nil"/>
              <w:bottom w:val="nil"/>
              <w:right w:val="nil"/>
            </w:tcBorders>
            <w:vAlign w:val="center"/>
          </w:tcPr>
          <w:p w14:paraId="1397195C" w14:textId="77777777" w:rsidR="00D067DF" w:rsidRPr="00011786" w:rsidRDefault="00D067DF" w:rsidP="00011786">
            <w:pPr>
              <w:spacing w:after="0"/>
              <w:rPr>
                <w:i/>
                <w:sz w:val="22"/>
                <w:szCs w:val="22"/>
              </w:rPr>
            </w:pPr>
            <w:r w:rsidRPr="00011786">
              <w:rPr>
                <w:color w:val="000000"/>
                <w:sz w:val="22"/>
                <w:szCs w:val="22"/>
              </w:rPr>
              <w:t>Franklin</w:t>
            </w:r>
          </w:p>
        </w:tc>
        <w:tc>
          <w:tcPr>
            <w:tcW w:w="628" w:type="dxa"/>
            <w:tcBorders>
              <w:top w:val="nil"/>
              <w:left w:val="nil"/>
              <w:bottom w:val="nil"/>
              <w:right w:val="nil"/>
            </w:tcBorders>
            <w:vAlign w:val="center"/>
          </w:tcPr>
          <w:p w14:paraId="26B4ABD3"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7C30897A"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D1706A0" w14:textId="72B3BD72"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17269D28"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3F67B517" w14:textId="41FA83CE"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27662B54" w14:textId="3A7E3792"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598EB18" w14:textId="77777777" w:rsidR="00D067DF" w:rsidRPr="00011786" w:rsidRDefault="00D067DF" w:rsidP="00011786">
            <w:pPr>
              <w:spacing w:after="0"/>
              <w:rPr>
                <w:rFonts w:eastAsia="Times New Roman"/>
                <w:sz w:val="22"/>
                <w:szCs w:val="22"/>
              </w:rPr>
            </w:pPr>
            <w:r w:rsidRPr="00011786">
              <w:rPr>
                <w:color w:val="000000"/>
                <w:sz w:val="22"/>
                <w:szCs w:val="22"/>
              </w:rPr>
              <w:t>Pinellas</w:t>
            </w:r>
          </w:p>
        </w:tc>
        <w:tc>
          <w:tcPr>
            <w:tcW w:w="744" w:type="dxa"/>
            <w:tcBorders>
              <w:top w:val="nil"/>
              <w:left w:val="nil"/>
              <w:bottom w:val="nil"/>
              <w:right w:val="nil"/>
            </w:tcBorders>
            <w:vAlign w:val="center"/>
          </w:tcPr>
          <w:p w14:paraId="267FA653" w14:textId="77777777" w:rsidR="00D067DF" w:rsidRPr="00011786" w:rsidRDefault="00D067DF" w:rsidP="00011786">
            <w:pPr>
              <w:spacing w:after="0"/>
              <w:jc w:val="right"/>
              <w:rPr>
                <w:color w:val="000000"/>
                <w:sz w:val="22"/>
                <w:szCs w:val="22"/>
              </w:rPr>
            </w:pPr>
            <w:r w:rsidRPr="00011786">
              <w:rPr>
                <w:color w:val="000000"/>
                <w:sz w:val="22"/>
                <w:szCs w:val="22"/>
              </w:rPr>
              <w:t>55</w:t>
            </w:r>
          </w:p>
        </w:tc>
        <w:tc>
          <w:tcPr>
            <w:tcW w:w="240" w:type="dxa"/>
            <w:tcBorders>
              <w:top w:val="nil"/>
              <w:left w:val="nil"/>
              <w:bottom w:val="nil"/>
              <w:right w:val="nil"/>
            </w:tcBorders>
            <w:vAlign w:val="center"/>
          </w:tcPr>
          <w:p w14:paraId="0A1C973F"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4D19DA3B" w14:textId="0D43446D" w:rsidR="00D067DF" w:rsidRPr="00011786" w:rsidRDefault="00D067DF" w:rsidP="00011786">
            <w:pPr>
              <w:spacing w:after="0"/>
              <w:jc w:val="right"/>
              <w:rPr>
                <w:rFonts w:eastAsia="Times New Roman"/>
                <w:sz w:val="22"/>
                <w:szCs w:val="22"/>
              </w:rPr>
            </w:pPr>
            <w:r w:rsidRPr="00011786">
              <w:rPr>
                <w:color w:val="000000"/>
                <w:sz w:val="22"/>
                <w:szCs w:val="22"/>
              </w:rPr>
              <w:t>6.3</w:t>
            </w:r>
            <w:r w:rsidR="00FD7DA6" w:rsidRPr="00011786">
              <w:rPr>
                <w:color w:val="000000"/>
                <w:sz w:val="22"/>
                <w:szCs w:val="22"/>
              </w:rPr>
              <w:t>7</w:t>
            </w:r>
          </w:p>
        </w:tc>
        <w:tc>
          <w:tcPr>
            <w:tcW w:w="248" w:type="dxa"/>
            <w:tcBorders>
              <w:top w:val="nil"/>
              <w:left w:val="nil"/>
              <w:bottom w:val="nil"/>
              <w:right w:val="nil"/>
            </w:tcBorders>
            <w:vAlign w:val="center"/>
          </w:tcPr>
          <w:p w14:paraId="6DD7DF32"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05E2FE3E" w14:textId="549DBAD2" w:rsidR="00D067DF" w:rsidRPr="00011786" w:rsidRDefault="00D067DF" w:rsidP="00011786">
            <w:pPr>
              <w:spacing w:after="0"/>
              <w:jc w:val="right"/>
              <w:rPr>
                <w:rFonts w:eastAsia="Times New Roman"/>
                <w:sz w:val="22"/>
                <w:szCs w:val="22"/>
              </w:rPr>
            </w:pPr>
            <w:r w:rsidRPr="00011786">
              <w:rPr>
                <w:color w:val="000000"/>
                <w:sz w:val="22"/>
                <w:szCs w:val="22"/>
              </w:rPr>
              <w:t>6.67</w:t>
            </w:r>
          </w:p>
        </w:tc>
        <w:tc>
          <w:tcPr>
            <w:tcW w:w="556" w:type="dxa"/>
            <w:tcBorders>
              <w:top w:val="nil"/>
              <w:left w:val="nil"/>
              <w:bottom w:val="nil"/>
              <w:right w:val="nil"/>
            </w:tcBorders>
            <w:vAlign w:val="center"/>
          </w:tcPr>
          <w:p w14:paraId="70404665" w14:textId="77777777" w:rsidR="00D067DF" w:rsidRPr="00011786" w:rsidRDefault="00D067DF" w:rsidP="00011786">
            <w:pPr>
              <w:spacing w:after="0"/>
              <w:jc w:val="right"/>
              <w:rPr>
                <w:rFonts w:eastAsia="Times New Roman"/>
                <w:sz w:val="22"/>
                <w:szCs w:val="22"/>
              </w:rPr>
            </w:pPr>
          </w:p>
        </w:tc>
      </w:tr>
      <w:tr w:rsidR="00011786" w:rsidRPr="004E2B94" w14:paraId="720B79B1" w14:textId="77777777" w:rsidTr="00E15B47">
        <w:trPr>
          <w:trHeight w:val="288"/>
        </w:trPr>
        <w:tc>
          <w:tcPr>
            <w:tcW w:w="1439" w:type="dxa"/>
            <w:tcBorders>
              <w:top w:val="nil"/>
              <w:left w:val="nil"/>
              <w:bottom w:val="nil"/>
              <w:right w:val="nil"/>
            </w:tcBorders>
            <w:vAlign w:val="center"/>
          </w:tcPr>
          <w:p w14:paraId="6F4B2D86" w14:textId="77777777" w:rsidR="00D067DF" w:rsidRPr="00011786" w:rsidRDefault="00D067DF" w:rsidP="00011786">
            <w:pPr>
              <w:spacing w:after="0"/>
              <w:rPr>
                <w:sz w:val="22"/>
                <w:szCs w:val="22"/>
              </w:rPr>
            </w:pPr>
            <w:r w:rsidRPr="00011786">
              <w:rPr>
                <w:color w:val="000000"/>
                <w:sz w:val="22"/>
                <w:szCs w:val="22"/>
              </w:rPr>
              <w:t>Gadsden</w:t>
            </w:r>
          </w:p>
        </w:tc>
        <w:tc>
          <w:tcPr>
            <w:tcW w:w="628" w:type="dxa"/>
            <w:tcBorders>
              <w:top w:val="nil"/>
              <w:left w:val="nil"/>
              <w:bottom w:val="nil"/>
              <w:right w:val="nil"/>
            </w:tcBorders>
            <w:vAlign w:val="center"/>
          </w:tcPr>
          <w:p w14:paraId="321E55E8"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50D2723B"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3475302E" w14:textId="2E90FF53"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6987B130"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15A56804" w14:textId="429F48DB"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0EC61A06" w14:textId="18F426F8"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0E10C54" w14:textId="77777777" w:rsidR="00D067DF" w:rsidRPr="00011786" w:rsidRDefault="00D067DF" w:rsidP="00011786">
            <w:pPr>
              <w:spacing w:after="0"/>
              <w:rPr>
                <w:rFonts w:eastAsia="Times New Roman"/>
                <w:sz w:val="22"/>
                <w:szCs w:val="22"/>
              </w:rPr>
            </w:pPr>
            <w:r w:rsidRPr="00011786">
              <w:rPr>
                <w:color w:val="000000"/>
                <w:sz w:val="22"/>
                <w:szCs w:val="22"/>
              </w:rPr>
              <w:t>Polk</w:t>
            </w:r>
          </w:p>
        </w:tc>
        <w:tc>
          <w:tcPr>
            <w:tcW w:w="744" w:type="dxa"/>
            <w:tcBorders>
              <w:top w:val="nil"/>
              <w:left w:val="nil"/>
              <w:bottom w:val="nil"/>
              <w:right w:val="nil"/>
            </w:tcBorders>
            <w:vAlign w:val="center"/>
          </w:tcPr>
          <w:p w14:paraId="34A2DC8A" w14:textId="15D665D3" w:rsidR="00D067DF" w:rsidRPr="00011786" w:rsidRDefault="00D067DF" w:rsidP="00011786">
            <w:pPr>
              <w:spacing w:after="0"/>
              <w:jc w:val="right"/>
              <w:rPr>
                <w:color w:val="000000"/>
                <w:sz w:val="22"/>
                <w:szCs w:val="22"/>
              </w:rPr>
            </w:pPr>
            <w:r w:rsidRPr="00011786">
              <w:rPr>
                <w:color w:val="000000"/>
                <w:sz w:val="22"/>
                <w:szCs w:val="22"/>
              </w:rPr>
              <w:t>7</w:t>
            </w:r>
          </w:p>
        </w:tc>
        <w:tc>
          <w:tcPr>
            <w:tcW w:w="240" w:type="dxa"/>
            <w:tcBorders>
              <w:top w:val="nil"/>
              <w:left w:val="nil"/>
              <w:bottom w:val="nil"/>
              <w:right w:val="nil"/>
            </w:tcBorders>
            <w:vAlign w:val="center"/>
          </w:tcPr>
          <w:p w14:paraId="66F374CB"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0D299841" w14:textId="12AAFAE8" w:rsidR="00D067DF" w:rsidRPr="00011786" w:rsidRDefault="00D067DF" w:rsidP="00011786">
            <w:pPr>
              <w:spacing w:after="0"/>
              <w:jc w:val="right"/>
              <w:rPr>
                <w:rFonts w:eastAsia="Times New Roman"/>
                <w:sz w:val="22"/>
                <w:szCs w:val="22"/>
              </w:rPr>
            </w:pPr>
            <w:r w:rsidRPr="00011786">
              <w:rPr>
                <w:color w:val="000000"/>
                <w:sz w:val="22"/>
                <w:szCs w:val="22"/>
              </w:rPr>
              <w:t>1.22</w:t>
            </w:r>
          </w:p>
        </w:tc>
        <w:tc>
          <w:tcPr>
            <w:tcW w:w="248" w:type="dxa"/>
            <w:tcBorders>
              <w:top w:val="nil"/>
              <w:left w:val="nil"/>
              <w:bottom w:val="nil"/>
              <w:right w:val="nil"/>
            </w:tcBorders>
            <w:vAlign w:val="center"/>
          </w:tcPr>
          <w:p w14:paraId="4600FD16"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24D487B5" w14:textId="4214DCA3" w:rsidR="00D067DF" w:rsidRPr="00011786" w:rsidRDefault="00D067DF" w:rsidP="00011786">
            <w:pPr>
              <w:spacing w:after="0"/>
              <w:jc w:val="right"/>
              <w:rPr>
                <w:rFonts w:eastAsia="Times New Roman"/>
                <w:sz w:val="22"/>
                <w:szCs w:val="22"/>
              </w:rPr>
            </w:pPr>
            <w:r w:rsidRPr="00011786">
              <w:rPr>
                <w:color w:val="000000"/>
                <w:sz w:val="22"/>
                <w:szCs w:val="22"/>
              </w:rPr>
              <w:t>1.27</w:t>
            </w:r>
          </w:p>
        </w:tc>
        <w:tc>
          <w:tcPr>
            <w:tcW w:w="556" w:type="dxa"/>
            <w:tcBorders>
              <w:top w:val="nil"/>
              <w:left w:val="nil"/>
              <w:bottom w:val="nil"/>
              <w:right w:val="nil"/>
            </w:tcBorders>
            <w:vAlign w:val="center"/>
          </w:tcPr>
          <w:p w14:paraId="0866FD2E" w14:textId="77777777" w:rsidR="00D067DF" w:rsidRPr="00011786" w:rsidRDefault="00D067DF" w:rsidP="00011786">
            <w:pPr>
              <w:spacing w:after="0"/>
              <w:jc w:val="right"/>
              <w:rPr>
                <w:rFonts w:eastAsia="Times New Roman"/>
                <w:sz w:val="22"/>
                <w:szCs w:val="22"/>
              </w:rPr>
            </w:pPr>
          </w:p>
        </w:tc>
      </w:tr>
      <w:tr w:rsidR="00011786" w:rsidRPr="004E2B94" w14:paraId="1093F4F3" w14:textId="77777777" w:rsidTr="00E15B47">
        <w:trPr>
          <w:trHeight w:val="288"/>
        </w:trPr>
        <w:tc>
          <w:tcPr>
            <w:tcW w:w="1439" w:type="dxa"/>
            <w:tcBorders>
              <w:top w:val="nil"/>
              <w:left w:val="nil"/>
              <w:bottom w:val="nil"/>
              <w:right w:val="nil"/>
            </w:tcBorders>
            <w:vAlign w:val="center"/>
          </w:tcPr>
          <w:p w14:paraId="3D486D0B" w14:textId="77777777" w:rsidR="00D067DF" w:rsidRPr="00011786" w:rsidRDefault="00D067DF" w:rsidP="00011786">
            <w:pPr>
              <w:spacing w:after="0"/>
              <w:rPr>
                <w:i/>
                <w:sz w:val="22"/>
                <w:szCs w:val="22"/>
              </w:rPr>
            </w:pPr>
            <w:r w:rsidRPr="00011786">
              <w:rPr>
                <w:color w:val="000000"/>
                <w:sz w:val="22"/>
                <w:szCs w:val="22"/>
              </w:rPr>
              <w:t>Gilchrist</w:t>
            </w:r>
          </w:p>
        </w:tc>
        <w:tc>
          <w:tcPr>
            <w:tcW w:w="628" w:type="dxa"/>
            <w:tcBorders>
              <w:top w:val="nil"/>
              <w:left w:val="nil"/>
              <w:bottom w:val="nil"/>
              <w:right w:val="nil"/>
            </w:tcBorders>
            <w:vAlign w:val="center"/>
          </w:tcPr>
          <w:p w14:paraId="1E8C0EA6"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7E1AAD00"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06BC9C4" w14:textId="1028AB66"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2955983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53BE7610" w14:textId="73BADD49"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22284C48" w14:textId="4B918985"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F032518" w14:textId="77777777" w:rsidR="00D067DF" w:rsidRPr="00011786" w:rsidRDefault="00D067DF" w:rsidP="00011786">
            <w:pPr>
              <w:spacing w:after="0"/>
              <w:rPr>
                <w:rFonts w:eastAsia="Times New Roman"/>
                <w:sz w:val="22"/>
                <w:szCs w:val="22"/>
              </w:rPr>
            </w:pPr>
            <w:r w:rsidRPr="00011786">
              <w:rPr>
                <w:color w:val="000000"/>
                <w:sz w:val="22"/>
                <w:szCs w:val="22"/>
              </w:rPr>
              <w:t>Putnam</w:t>
            </w:r>
          </w:p>
        </w:tc>
        <w:tc>
          <w:tcPr>
            <w:tcW w:w="744" w:type="dxa"/>
            <w:tcBorders>
              <w:top w:val="nil"/>
              <w:left w:val="nil"/>
              <w:bottom w:val="nil"/>
              <w:right w:val="nil"/>
            </w:tcBorders>
            <w:vAlign w:val="center"/>
          </w:tcPr>
          <w:p w14:paraId="36B2F9BD" w14:textId="77777777" w:rsidR="00D067DF" w:rsidRPr="00011786" w:rsidRDefault="00D067DF" w:rsidP="00011786">
            <w:pPr>
              <w:spacing w:after="0"/>
              <w:jc w:val="right"/>
              <w:rPr>
                <w:color w:val="000000"/>
                <w:sz w:val="22"/>
                <w:szCs w:val="22"/>
              </w:rPr>
            </w:pPr>
            <w:r w:rsidRPr="00011786">
              <w:rPr>
                <w:color w:val="000000"/>
                <w:sz w:val="22"/>
                <w:szCs w:val="22"/>
              </w:rPr>
              <w:t>8</w:t>
            </w:r>
          </w:p>
        </w:tc>
        <w:tc>
          <w:tcPr>
            <w:tcW w:w="240" w:type="dxa"/>
            <w:tcBorders>
              <w:top w:val="nil"/>
              <w:left w:val="nil"/>
              <w:bottom w:val="nil"/>
              <w:right w:val="nil"/>
            </w:tcBorders>
            <w:vAlign w:val="center"/>
          </w:tcPr>
          <w:p w14:paraId="0B23906B"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7657D404" w14:textId="3173BFEC" w:rsidR="00D067DF" w:rsidRPr="00011786" w:rsidRDefault="00D067DF" w:rsidP="00011786">
            <w:pPr>
              <w:spacing w:after="0"/>
              <w:jc w:val="right"/>
              <w:rPr>
                <w:rFonts w:eastAsia="Times New Roman"/>
                <w:sz w:val="22"/>
                <w:szCs w:val="22"/>
              </w:rPr>
            </w:pPr>
            <w:r w:rsidRPr="00011786">
              <w:rPr>
                <w:color w:val="000000"/>
                <w:sz w:val="22"/>
                <w:szCs w:val="22"/>
              </w:rPr>
              <w:t>12.48</w:t>
            </w:r>
          </w:p>
        </w:tc>
        <w:tc>
          <w:tcPr>
            <w:tcW w:w="248" w:type="dxa"/>
            <w:tcBorders>
              <w:top w:val="nil"/>
              <w:left w:val="nil"/>
              <w:bottom w:val="nil"/>
              <w:right w:val="nil"/>
            </w:tcBorders>
            <w:vAlign w:val="center"/>
          </w:tcPr>
          <w:p w14:paraId="36EC73C4"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6E681AA8" w14:textId="35612498" w:rsidR="00D067DF" w:rsidRPr="00011786" w:rsidRDefault="00D067DF" w:rsidP="00011786">
            <w:pPr>
              <w:spacing w:after="0"/>
              <w:jc w:val="right"/>
              <w:rPr>
                <w:rFonts w:eastAsia="Times New Roman"/>
                <w:sz w:val="22"/>
                <w:szCs w:val="22"/>
              </w:rPr>
            </w:pPr>
            <w:r w:rsidRPr="00011786">
              <w:rPr>
                <w:color w:val="000000"/>
                <w:sz w:val="22"/>
                <w:szCs w:val="22"/>
              </w:rPr>
              <w:t>14.00</w:t>
            </w:r>
          </w:p>
        </w:tc>
        <w:tc>
          <w:tcPr>
            <w:tcW w:w="556" w:type="dxa"/>
            <w:tcBorders>
              <w:top w:val="nil"/>
              <w:left w:val="nil"/>
              <w:bottom w:val="nil"/>
              <w:right w:val="nil"/>
            </w:tcBorders>
            <w:vAlign w:val="center"/>
          </w:tcPr>
          <w:p w14:paraId="2AD38B4E" w14:textId="77777777" w:rsidR="00D067DF" w:rsidRPr="00011786" w:rsidRDefault="00D067DF" w:rsidP="00011786">
            <w:pPr>
              <w:spacing w:after="0"/>
              <w:jc w:val="right"/>
              <w:rPr>
                <w:rFonts w:eastAsia="Times New Roman"/>
                <w:sz w:val="22"/>
                <w:szCs w:val="22"/>
              </w:rPr>
            </w:pPr>
          </w:p>
        </w:tc>
      </w:tr>
      <w:tr w:rsidR="00011786" w:rsidRPr="004E2B94" w14:paraId="513B8657" w14:textId="77777777" w:rsidTr="00E15B47">
        <w:trPr>
          <w:trHeight w:val="288"/>
        </w:trPr>
        <w:tc>
          <w:tcPr>
            <w:tcW w:w="1439" w:type="dxa"/>
            <w:tcBorders>
              <w:top w:val="nil"/>
              <w:left w:val="nil"/>
              <w:bottom w:val="nil"/>
              <w:right w:val="nil"/>
            </w:tcBorders>
            <w:vAlign w:val="center"/>
          </w:tcPr>
          <w:p w14:paraId="1728B7F1" w14:textId="77777777" w:rsidR="00D067DF" w:rsidRPr="00011786" w:rsidRDefault="00D067DF" w:rsidP="00011786">
            <w:pPr>
              <w:spacing w:after="0"/>
              <w:rPr>
                <w:i/>
                <w:sz w:val="22"/>
                <w:szCs w:val="22"/>
              </w:rPr>
            </w:pPr>
            <w:r w:rsidRPr="00011786">
              <w:rPr>
                <w:color w:val="000000"/>
                <w:sz w:val="22"/>
                <w:szCs w:val="22"/>
              </w:rPr>
              <w:t>Glades</w:t>
            </w:r>
          </w:p>
        </w:tc>
        <w:tc>
          <w:tcPr>
            <w:tcW w:w="628" w:type="dxa"/>
            <w:tcBorders>
              <w:top w:val="nil"/>
              <w:left w:val="nil"/>
              <w:bottom w:val="nil"/>
              <w:right w:val="nil"/>
            </w:tcBorders>
            <w:vAlign w:val="center"/>
          </w:tcPr>
          <w:p w14:paraId="10254BBB"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01D6FABC"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F5DC1CF" w14:textId="67CCB779"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5F72DAD7"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54425973" w14:textId="62C830A7"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3AE0EEEE" w14:textId="4A5CA6A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23AEAF0" w14:textId="77777777" w:rsidR="00D067DF" w:rsidRPr="00011786" w:rsidRDefault="00D067DF" w:rsidP="00011786">
            <w:pPr>
              <w:spacing w:after="0"/>
              <w:rPr>
                <w:rFonts w:eastAsia="Times New Roman"/>
                <w:sz w:val="22"/>
                <w:szCs w:val="22"/>
              </w:rPr>
            </w:pPr>
            <w:r w:rsidRPr="00011786">
              <w:rPr>
                <w:color w:val="000000"/>
                <w:sz w:val="22"/>
                <w:szCs w:val="22"/>
              </w:rPr>
              <w:t>Santa Rosa</w:t>
            </w:r>
          </w:p>
        </w:tc>
        <w:tc>
          <w:tcPr>
            <w:tcW w:w="744" w:type="dxa"/>
            <w:tcBorders>
              <w:top w:val="nil"/>
              <w:left w:val="nil"/>
              <w:bottom w:val="nil"/>
              <w:right w:val="nil"/>
            </w:tcBorders>
            <w:vAlign w:val="center"/>
          </w:tcPr>
          <w:p w14:paraId="0953E829" w14:textId="77777777" w:rsidR="00D067DF" w:rsidRPr="00011786" w:rsidRDefault="00D067DF" w:rsidP="00011786">
            <w:pPr>
              <w:spacing w:after="0"/>
              <w:jc w:val="right"/>
              <w:rPr>
                <w:color w:val="000000"/>
                <w:sz w:val="22"/>
                <w:szCs w:val="22"/>
              </w:rPr>
            </w:pPr>
            <w:r w:rsidRPr="00011786">
              <w:rPr>
                <w:color w:val="000000"/>
                <w:sz w:val="22"/>
                <w:szCs w:val="22"/>
              </w:rPr>
              <w:t>3</w:t>
            </w:r>
          </w:p>
        </w:tc>
        <w:tc>
          <w:tcPr>
            <w:tcW w:w="240" w:type="dxa"/>
            <w:tcBorders>
              <w:top w:val="nil"/>
              <w:left w:val="nil"/>
              <w:bottom w:val="nil"/>
              <w:right w:val="nil"/>
            </w:tcBorders>
            <w:vAlign w:val="center"/>
          </w:tcPr>
          <w:p w14:paraId="72FE20BE"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33BE81CD" w14:textId="6D1939E3" w:rsidR="00D067DF" w:rsidRPr="00011786" w:rsidRDefault="00D067DF" w:rsidP="00011786">
            <w:pPr>
              <w:spacing w:after="0"/>
              <w:jc w:val="right"/>
              <w:rPr>
                <w:rFonts w:eastAsia="Times New Roman"/>
                <w:sz w:val="22"/>
                <w:szCs w:val="22"/>
              </w:rPr>
            </w:pPr>
            <w:r w:rsidRPr="00011786">
              <w:rPr>
                <w:color w:val="000000"/>
                <w:sz w:val="22"/>
                <w:szCs w:val="22"/>
              </w:rPr>
              <w:t>2.04</w:t>
            </w:r>
          </w:p>
        </w:tc>
        <w:tc>
          <w:tcPr>
            <w:tcW w:w="248" w:type="dxa"/>
            <w:tcBorders>
              <w:top w:val="nil"/>
              <w:left w:val="nil"/>
              <w:bottom w:val="nil"/>
              <w:right w:val="nil"/>
            </w:tcBorders>
            <w:vAlign w:val="center"/>
          </w:tcPr>
          <w:p w14:paraId="6C096F4D"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1A3B0D8A" w14:textId="6AC5AAB7" w:rsidR="00D067DF" w:rsidRPr="00011786" w:rsidRDefault="00D067DF" w:rsidP="00011786">
            <w:pPr>
              <w:spacing w:after="0"/>
              <w:jc w:val="right"/>
              <w:rPr>
                <w:rFonts w:eastAsia="Times New Roman"/>
                <w:sz w:val="22"/>
                <w:szCs w:val="22"/>
              </w:rPr>
            </w:pPr>
            <w:r w:rsidRPr="00011786">
              <w:rPr>
                <w:color w:val="000000"/>
                <w:sz w:val="22"/>
                <w:szCs w:val="22"/>
              </w:rPr>
              <w:t>1.96</w:t>
            </w:r>
          </w:p>
        </w:tc>
        <w:tc>
          <w:tcPr>
            <w:tcW w:w="556" w:type="dxa"/>
            <w:tcBorders>
              <w:top w:val="nil"/>
              <w:left w:val="nil"/>
              <w:bottom w:val="nil"/>
              <w:right w:val="nil"/>
            </w:tcBorders>
            <w:vAlign w:val="center"/>
          </w:tcPr>
          <w:p w14:paraId="66832BFD" w14:textId="77777777" w:rsidR="00D067DF" w:rsidRPr="00011786" w:rsidRDefault="00D067DF" w:rsidP="00011786">
            <w:pPr>
              <w:spacing w:after="0"/>
              <w:jc w:val="right"/>
              <w:rPr>
                <w:rFonts w:eastAsia="Times New Roman"/>
                <w:sz w:val="22"/>
                <w:szCs w:val="22"/>
              </w:rPr>
            </w:pPr>
          </w:p>
        </w:tc>
      </w:tr>
      <w:tr w:rsidR="00011786" w:rsidRPr="004E2B94" w14:paraId="32EA678B" w14:textId="77777777" w:rsidTr="00E15B47">
        <w:trPr>
          <w:trHeight w:val="288"/>
        </w:trPr>
        <w:tc>
          <w:tcPr>
            <w:tcW w:w="1439" w:type="dxa"/>
            <w:tcBorders>
              <w:top w:val="nil"/>
              <w:left w:val="nil"/>
              <w:bottom w:val="nil"/>
              <w:right w:val="nil"/>
            </w:tcBorders>
            <w:vAlign w:val="center"/>
          </w:tcPr>
          <w:p w14:paraId="739D93FD" w14:textId="77777777" w:rsidR="00D067DF" w:rsidRPr="00011786" w:rsidRDefault="00D067DF" w:rsidP="00011786">
            <w:pPr>
              <w:spacing w:after="0"/>
              <w:rPr>
                <w:i/>
                <w:sz w:val="22"/>
                <w:szCs w:val="22"/>
              </w:rPr>
            </w:pPr>
            <w:r w:rsidRPr="00011786">
              <w:rPr>
                <w:color w:val="000000"/>
                <w:sz w:val="22"/>
                <w:szCs w:val="22"/>
              </w:rPr>
              <w:t>Gulf</w:t>
            </w:r>
          </w:p>
        </w:tc>
        <w:tc>
          <w:tcPr>
            <w:tcW w:w="628" w:type="dxa"/>
            <w:tcBorders>
              <w:top w:val="nil"/>
              <w:left w:val="nil"/>
              <w:bottom w:val="nil"/>
              <w:right w:val="nil"/>
            </w:tcBorders>
            <w:vAlign w:val="center"/>
          </w:tcPr>
          <w:p w14:paraId="7F434FAF"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5454F9AA"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5AFAC9CB" w14:textId="3B8DCCE3"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66B3A344"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148B45BE" w14:textId="34FF6FAE"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621C652F" w14:textId="6C572858"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662A040" w14:textId="77777777" w:rsidR="00D067DF" w:rsidRPr="00011786" w:rsidRDefault="00D067DF" w:rsidP="00011786">
            <w:pPr>
              <w:spacing w:after="0"/>
              <w:rPr>
                <w:rFonts w:eastAsia="Times New Roman"/>
                <w:sz w:val="22"/>
                <w:szCs w:val="22"/>
              </w:rPr>
            </w:pPr>
            <w:r w:rsidRPr="00011786">
              <w:rPr>
                <w:color w:val="000000"/>
                <w:sz w:val="22"/>
                <w:szCs w:val="22"/>
              </w:rPr>
              <w:t>Sarasota</w:t>
            </w:r>
          </w:p>
        </w:tc>
        <w:tc>
          <w:tcPr>
            <w:tcW w:w="744" w:type="dxa"/>
            <w:tcBorders>
              <w:top w:val="nil"/>
              <w:left w:val="nil"/>
              <w:bottom w:val="nil"/>
              <w:right w:val="nil"/>
            </w:tcBorders>
            <w:vAlign w:val="center"/>
          </w:tcPr>
          <w:p w14:paraId="40AAB1D5" w14:textId="77777777" w:rsidR="00D067DF" w:rsidRPr="00011786" w:rsidRDefault="00D067DF" w:rsidP="00011786">
            <w:pPr>
              <w:spacing w:after="0"/>
              <w:jc w:val="right"/>
              <w:rPr>
                <w:color w:val="000000"/>
                <w:sz w:val="22"/>
                <w:szCs w:val="22"/>
              </w:rPr>
            </w:pPr>
            <w:r w:rsidRPr="00011786">
              <w:rPr>
                <w:color w:val="000000"/>
                <w:sz w:val="22"/>
                <w:szCs w:val="22"/>
              </w:rPr>
              <w:t>16</w:t>
            </w:r>
          </w:p>
        </w:tc>
        <w:tc>
          <w:tcPr>
            <w:tcW w:w="240" w:type="dxa"/>
            <w:tcBorders>
              <w:top w:val="nil"/>
              <w:left w:val="nil"/>
              <w:bottom w:val="nil"/>
              <w:right w:val="nil"/>
            </w:tcBorders>
            <w:vAlign w:val="center"/>
          </w:tcPr>
          <w:p w14:paraId="6F751882"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0FD00BEE" w14:textId="262162B5" w:rsidR="00D067DF" w:rsidRPr="00011786" w:rsidRDefault="00D067DF" w:rsidP="00011786">
            <w:pPr>
              <w:spacing w:after="0"/>
              <w:jc w:val="right"/>
              <w:rPr>
                <w:rFonts w:eastAsia="Times New Roman"/>
                <w:sz w:val="22"/>
                <w:szCs w:val="22"/>
              </w:rPr>
            </w:pPr>
            <w:r w:rsidRPr="00011786">
              <w:rPr>
                <w:color w:val="000000"/>
                <w:sz w:val="22"/>
                <w:szCs w:val="22"/>
              </w:rPr>
              <w:t>4.28</w:t>
            </w:r>
          </w:p>
        </w:tc>
        <w:tc>
          <w:tcPr>
            <w:tcW w:w="248" w:type="dxa"/>
            <w:tcBorders>
              <w:top w:val="nil"/>
              <w:left w:val="nil"/>
              <w:bottom w:val="nil"/>
              <w:right w:val="nil"/>
            </w:tcBorders>
            <w:vAlign w:val="center"/>
          </w:tcPr>
          <w:p w14:paraId="4E0D30C0"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7A3A3526" w14:textId="3C3323F8" w:rsidR="00D067DF" w:rsidRPr="00011786" w:rsidRDefault="00D067DF" w:rsidP="00011786">
            <w:pPr>
              <w:spacing w:after="0"/>
              <w:jc w:val="right"/>
              <w:rPr>
                <w:rFonts w:eastAsia="Times New Roman"/>
                <w:sz w:val="22"/>
                <w:szCs w:val="22"/>
              </w:rPr>
            </w:pPr>
            <w:r w:rsidRPr="00011786">
              <w:rPr>
                <w:color w:val="000000"/>
                <w:sz w:val="22"/>
                <w:szCs w:val="22"/>
              </w:rPr>
              <w:t>5.80</w:t>
            </w:r>
          </w:p>
        </w:tc>
        <w:tc>
          <w:tcPr>
            <w:tcW w:w="556" w:type="dxa"/>
            <w:tcBorders>
              <w:top w:val="nil"/>
              <w:left w:val="nil"/>
              <w:bottom w:val="nil"/>
              <w:right w:val="nil"/>
            </w:tcBorders>
            <w:vAlign w:val="center"/>
          </w:tcPr>
          <w:p w14:paraId="2615F1CF" w14:textId="77777777" w:rsidR="00D067DF" w:rsidRPr="00011786" w:rsidRDefault="00D067DF" w:rsidP="00011786">
            <w:pPr>
              <w:spacing w:after="0"/>
              <w:jc w:val="right"/>
              <w:rPr>
                <w:rFonts w:eastAsia="Times New Roman"/>
                <w:sz w:val="22"/>
                <w:szCs w:val="22"/>
              </w:rPr>
            </w:pPr>
          </w:p>
        </w:tc>
      </w:tr>
      <w:tr w:rsidR="00011786" w:rsidRPr="004E2B94" w14:paraId="02730594" w14:textId="77777777" w:rsidTr="00E15B47">
        <w:trPr>
          <w:trHeight w:val="288"/>
        </w:trPr>
        <w:tc>
          <w:tcPr>
            <w:tcW w:w="1439" w:type="dxa"/>
            <w:tcBorders>
              <w:top w:val="nil"/>
              <w:left w:val="nil"/>
              <w:bottom w:val="nil"/>
              <w:right w:val="nil"/>
            </w:tcBorders>
            <w:vAlign w:val="center"/>
          </w:tcPr>
          <w:p w14:paraId="65931510" w14:textId="77777777" w:rsidR="00D067DF" w:rsidRPr="00011786" w:rsidRDefault="00D067DF" w:rsidP="00011786">
            <w:pPr>
              <w:spacing w:after="0"/>
              <w:rPr>
                <w:i/>
                <w:sz w:val="22"/>
                <w:szCs w:val="22"/>
              </w:rPr>
            </w:pPr>
            <w:r w:rsidRPr="00011786">
              <w:rPr>
                <w:color w:val="000000"/>
                <w:sz w:val="22"/>
                <w:szCs w:val="22"/>
              </w:rPr>
              <w:t>Hamilton</w:t>
            </w:r>
          </w:p>
        </w:tc>
        <w:tc>
          <w:tcPr>
            <w:tcW w:w="628" w:type="dxa"/>
            <w:tcBorders>
              <w:top w:val="nil"/>
              <w:left w:val="nil"/>
              <w:bottom w:val="nil"/>
              <w:right w:val="nil"/>
            </w:tcBorders>
            <w:vAlign w:val="center"/>
          </w:tcPr>
          <w:p w14:paraId="569BF149"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37845BA1"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BBC0EB8" w14:textId="1543BCAD"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4F2B92DE"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55AE2078" w14:textId="466C2719"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288DA3E1" w14:textId="119D0092"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CD4AC1A" w14:textId="77777777" w:rsidR="00D067DF" w:rsidRPr="00011786" w:rsidRDefault="00D067DF" w:rsidP="00011786">
            <w:pPr>
              <w:spacing w:after="0"/>
              <w:rPr>
                <w:rFonts w:eastAsia="Times New Roman"/>
                <w:sz w:val="22"/>
                <w:szCs w:val="22"/>
              </w:rPr>
            </w:pPr>
            <w:r w:rsidRPr="00011786">
              <w:rPr>
                <w:color w:val="000000"/>
                <w:sz w:val="22"/>
                <w:szCs w:val="22"/>
              </w:rPr>
              <w:t>Seminole</w:t>
            </w:r>
          </w:p>
        </w:tc>
        <w:tc>
          <w:tcPr>
            <w:tcW w:w="744" w:type="dxa"/>
            <w:tcBorders>
              <w:top w:val="nil"/>
              <w:left w:val="nil"/>
              <w:bottom w:val="nil"/>
              <w:right w:val="nil"/>
            </w:tcBorders>
            <w:vAlign w:val="center"/>
          </w:tcPr>
          <w:p w14:paraId="65DB5894" w14:textId="77777777" w:rsidR="00D067DF" w:rsidRPr="00011786" w:rsidRDefault="00D067DF" w:rsidP="00011786">
            <w:pPr>
              <w:spacing w:after="0"/>
              <w:jc w:val="right"/>
              <w:rPr>
                <w:color w:val="000000"/>
                <w:sz w:val="22"/>
                <w:szCs w:val="22"/>
              </w:rPr>
            </w:pPr>
            <w:r w:rsidRPr="00011786">
              <w:rPr>
                <w:color w:val="000000"/>
                <w:sz w:val="22"/>
                <w:szCs w:val="22"/>
              </w:rPr>
              <w:t>47</w:t>
            </w:r>
          </w:p>
        </w:tc>
        <w:tc>
          <w:tcPr>
            <w:tcW w:w="240" w:type="dxa"/>
            <w:tcBorders>
              <w:top w:val="nil"/>
              <w:left w:val="nil"/>
              <w:bottom w:val="nil"/>
              <w:right w:val="nil"/>
            </w:tcBorders>
            <w:vAlign w:val="center"/>
          </w:tcPr>
          <w:p w14:paraId="2AE21EA0"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7AA415E7" w14:textId="3D19CDC9" w:rsidR="00D067DF" w:rsidRPr="00011786" w:rsidRDefault="00D067DF" w:rsidP="00011786">
            <w:pPr>
              <w:spacing w:after="0"/>
              <w:jc w:val="right"/>
              <w:rPr>
                <w:rFonts w:eastAsia="Times New Roman"/>
                <w:sz w:val="22"/>
                <w:szCs w:val="22"/>
              </w:rPr>
            </w:pPr>
            <w:r w:rsidRPr="00011786">
              <w:rPr>
                <w:color w:val="000000"/>
                <w:sz w:val="22"/>
                <w:szCs w:val="22"/>
              </w:rPr>
              <w:t>11.79</w:t>
            </w:r>
          </w:p>
        </w:tc>
        <w:tc>
          <w:tcPr>
            <w:tcW w:w="248" w:type="dxa"/>
            <w:tcBorders>
              <w:top w:val="nil"/>
              <w:left w:val="nil"/>
              <w:bottom w:val="nil"/>
              <w:right w:val="nil"/>
            </w:tcBorders>
            <w:vAlign w:val="center"/>
          </w:tcPr>
          <w:p w14:paraId="29B88823"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3FBDB971" w14:textId="10F7B3BE" w:rsidR="00D067DF" w:rsidRPr="00011786" w:rsidRDefault="00D067DF" w:rsidP="00011786">
            <w:pPr>
              <w:spacing w:after="0"/>
              <w:jc w:val="right"/>
              <w:rPr>
                <w:rFonts w:eastAsia="Times New Roman"/>
                <w:sz w:val="22"/>
                <w:szCs w:val="22"/>
              </w:rPr>
            </w:pPr>
            <w:r w:rsidRPr="00011786">
              <w:rPr>
                <w:color w:val="000000"/>
                <w:sz w:val="22"/>
                <w:szCs w:val="22"/>
              </w:rPr>
              <w:t>10.89</w:t>
            </w:r>
          </w:p>
        </w:tc>
        <w:tc>
          <w:tcPr>
            <w:tcW w:w="556" w:type="dxa"/>
            <w:tcBorders>
              <w:top w:val="nil"/>
              <w:left w:val="nil"/>
              <w:bottom w:val="nil"/>
              <w:right w:val="nil"/>
            </w:tcBorders>
            <w:vAlign w:val="center"/>
          </w:tcPr>
          <w:p w14:paraId="6C7FEB4E" w14:textId="77777777" w:rsidR="00D067DF" w:rsidRPr="00011786" w:rsidRDefault="00D067DF" w:rsidP="00011786">
            <w:pPr>
              <w:spacing w:after="0"/>
              <w:jc w:val="right"/>
              <w:rPr>
                <w:rFonts w:eastAsia="Times New Roman"/>
                <w:sz w:val="22"/>
                <w:szCs w:val="22"/>
              </w:rPr>
            </w:pPr>
          </w:p>
        </w:tc>
      </w:tr>
      <w:tr w:rsidR="00011786" w:rsidRPr="004E2B94" w14:paraId="43F636C9" w14:textId="77777777" w:rsidTr="00E15B47">
        <w:trPr>
          <w:trHeight w:val="288"/>
        </w:trPr>
        <w:tc>
          <w:tcPr>
            <w:tcW w:w="1439" w:type="dxa"/>
            <w:tcBorders>
              <w:top w:val="nil"/>
              <w:left w:val="nil"/>
              <w:bottom w:val="nil"/>
              <w:right w:val="nil"/>
            </w:tcBorders>
            <w:vAlign w:val="center"/>
          </w:tcPr>
          <w:p w14:paraId="11A9A428" w14:textId="77777777" w:rsidR="00D067DF" w:rsidRPr="00011786" w:rsidRDefault="00D067DF" w:rsidP="00011786">
            <w:pPr>
              <w:spacing w:after="0"/>
              <w:rPr>
                <w:i/>
                <w:sz w:val="22"/>
                <w:szCs w:val="22"/>
              </w:rPr>
            </w:pPr>
            <w:r w:rsidRPr="00011786">
              <w:rPr>
                <w:color w:val="000000"/>
                <w:sz w:val="22"/>
                <w:szCs w:val="22"/>
              </w:rPr>
              <w:t>Hardee</w:t>
            </w:r>
          </w:p>
        </w:tc>
        <w:tc>
          <w:tcPr>
            <w:tcW w:w="628" w:type="dxa"/>
            <w:tcBorders>
              <w:top w:val="nil"/>
              <w:left w:val="nil"/>
              <w:bottom w:val="nil"/>
              <w:right w:val="nil"/>
            </w:tcBorders>
            <w:vAlign w:val="center"/>
          </w:tcPr>
          <w:p w14:paraId="340B5E83"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3335991D"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A3FB8FD" w14:textId="1AA612DC"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7D105971"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774437A9" w14:textId="3E24CF76"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69A89860" w14:textId="20126744"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03EA8C3F" w14:textId="77777777" w:rsidR="00D067DF" w:rsidRPr="00011786" w:rsidRDefault="00D067DF" w:rsidP="00011786">
            <w:pPr>
              <w:spacing w:after="0"/>
              <w:rPr>
                <w:rFonts w:eastAsia="Times New Roman"/>
                <w:sz w:val="22"/>
                <w:szCs w:val="22"/>
              </w:rPr>
            </w:pPr>
            <w:r w:rsidRPr="00011786">
              <w:rPr>
                <w:color w:val="000000"/>
                <w:sz w:val="22"/>
                <w:szCs w:val="22"/>
              </w:rPr>
              <w:t>St. Johns</w:t>
            </w:r>
          </w:p>
        </w:tc>
        <w:tc>
          <w:tcPr>
            <w:tcW w:w="744" w:type="dxa"/>
            <w:tcBorders>
              <w:top w:val="nil"/>
              <w:left w:val="nil"/>
              <w:bottom w:val="nil"/>
              <w:right w:val="nil"/>
            </w:tcBorders>
            <w:vAlign w:val="center"/>
          </w:tcPr>
          <w:p w14:paraId="5812F98B" w14:textId="77777777" w:rsidR="00D067DF" w:rsidRPr="00011786" w:rsidRDefault="00D067DF" w:rsidP="00011786">
            <w:pPr>
              <w:spacing w:after="0"/>
              <w:jc w:val="right"/>
              <w:rPr>
                <w:color w:val="000000"/>
                <w:sz w:val="22"/>
                <w:szCs w:val="22"/>
              </w:rPr>
            </w:pPr>
            <w:r w:rsidRPr="00011786">
              <w:rPr>
                <w:color w:val="000000"/>
                <w:sz w:val="22"/>
                <w:szCs w:val="22"/>
              </w:rPr>
              <w:t>8</w:t>
            </w:r>
          </w:p>
        </w:tc>
        <w:tc>
          <w:tcPr>
            <w:tcW w:w="240" w:type="dxa"/>
            <w:tcBorders>
              <w:top w:val="nil"/>
              <w:left w:val="nil"/>
              <w:bottom w:val="nil"/>
              <w:right w:val="nil"/>
            </w:tcBorders>
            <w:vAlign w:val="center"/>
          </w:tcPr>
          <w:p w14:paraId="6AFC2D39"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12C825D1" w14:textId="53D5B77F" w:rsidR="00D067DF" w:rsidRPr="00011786" w:rsidRDefault="00D067DF" w:rsidP="00011786">
            <w:pPr>
              <w:spacing w:after="0"/>
              <w:jc w:val="right"/>
              <w:rPr>
                <w:rFonts w:eastAsia="Times New Roman"/>
                <w:sz w:val="22"/>
                <w:szCs w:val="22"/>
              </w:rPr>
            </w:pPr>
            <w:r w:rsidRPr="00011786">
              <w:rPr>
                <w:color w:val="000000"/>
                <w:sz w:val="22"/>
                <w:szCs w:val="22"/>
              </w:rPr>
              <w:t>3.97</w:t>
            </w:r>
          </w:p>
        </w:tc>
        <w:tc>
          <w:tcPr>
            <w:tcW w:w="248" w:type="dxa"/>
            <w:tcBorders>
              <w:top w:val="nil"/>
              <w:left w:val="nil"/>
              <w:bottom w:val="nil"/>
              <w:right w:val="nil"/>
            </w:tcBorders>
            <w:vAlign w:val="center"/>
          </w:tcPr>
          <w:p w14:paraId="2EBAEA54"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675FDAD7" w14:textId="09B740EA" w:rsidR="00D067DF" w:rsidRPr="00011786" w:rsidRDefault="00D067DF" w:rsidP="00011786">
            <w:pPr>
              <w:spacing w:after="0"/>
              <w:jc w:val="right"/>
              <w:rPr>
                <w:rFonts w:eastAsia="Times New Roman"/>
                <w:sz w:val="22"/>
                <w:szCs w:val="22"/>
              </w:rPr>
            </w:pPr>
            <w:r w:rsidRPr="00011786">
              <w:rPr>
                <w:color w:val="000000"/>
                <w:sz w:val="22"/>
                <w:szCs w:val="22"/>
              </w:rPr>
              <w:t>4.73</w:t>
            </w:r>
          </w:p>
        </w:tc>
        <w:tc>
          <w:tcPr>
            <w:tcW w:w="556" w:type="dxa"/>
            <w:tcBorders>
              <w:top w:val="nil"/>
              <w:left w:val="nil"/>
              <w:bottom w:val="nil"/>
              <w:right w:val="nil"/>
            </w:tcBorders>
            <w:vAlign w:val="center"/>
          </w:tcPr>
          <w:p w14:paraId="635B631D" w14:textId="77777777" w:rsidR="00D067DF" w:rsidRPr="00011786" w:rsidRDefault="00D067DF" w:rsidP="00011786">
            <w:pPr>
              <w:spacing w:after="0"/>
              <w:jc w:val="right"/>
              <w:rPr>
                <w:rFonts w:eastAsia="Times New Roman"/>
                <w:sz w:val="22"/>
                <w:szCs w:val="22"/>
              </w:rPr>
            </w:pPr>
          </w:p>
        </w:tc>
      </w:tr>
      <w:tr w:rsidR="00F949D4" w:rsidRPr="004E2B94" w14:paraId="04C45DCD" w14:textId="77777777" w:rsidTr="00321E99">
        <w:trPr>
          <w:trHeight w:val="288"/>
        </w:trPr>
        <w:tc>
          <w:tcPr>
            <w:tcW w:w="1439" w:type="dxa"/>
            <w:tcBorders>
              <w:top w:val="nil"/>
              <w:left w:val="nil"/>
              <w:bottom w:val="nil"/>
              <w:right w:val="nil"/>
            </w:tcBorders>
            <w:vAlign w:val="center"/>
          </w:tcPr>
          <w:p w14:paraId="57A0A265" w14:textId="77777777" w:rsidR="00F949D4" w:rsidRPr="00011786" w:rsidRDefault="00F949D4" w:rsidP="00F949D4">
            <w:pPr>
              <w:spacing w:after="0"/>
              <w:rPr>
                <w:i/>
                <w:sz w:val="22"/>
                <w:szCs w:val="22"/>
              </w:rPr>
            </w:pPr>
            <w:r w:rsidRPr="00011786">
              <w:rPr>
                <w:color w:val="000000"/>
                <w:sz w:val="22"/>
                <w:szCs w:val="22"/>
              </w:rPr>
              <w:t>Hendry</w:t>
            </w:r>
          </w:p>
        </w:tc>
        <w:tc>
          <w:tcPr>
            <w:tcW w:w="628" w:type="dxa"/>
            <w:tcBorders>
              <w:top w:val="nil"/>
              <w:left w:val="nil"/>
              <w:bottom w:val="nil"/>
              <w:right w:val="nil"/>
            </w:tcBorders>
            <w:vAlign w:val="center"/>
          </w:tcPr>
          <w:p w14:paraId="4882F3AD" w14:textId="77777777" w:rsidR="00F949D4" w:rsidRPr="00011786" w:rsidRDefault="00F949D4" w:rsidP="00F949D4">
            <w:pPr>
              <w:spacing w:after="0"/>
              <w:jc w:val="right"/>
              <w:rPr>
                <w:color w:val="000000"/>
                <w:sz w:val="22"/>
                <w:szCs w:val="22"/>
              </w:rPr>
            </w:pPr>
            <w:r w:rsidRPr="00011786">
              <w:rPr>
                <w:color w:val="000000"/>
                <w:sz w:val="22"/>
                <w:szCs w:val="22"/>
              </w:rPr>
              <w:t>3</w:t>
            </w:r>
          </w:p>
        </w:tc>
        <w:tc>
          <w:tcPr>
            <w:tcW w:w="236" w:type="dxa"/>
            <w:tcBorders>
              <w:top w:val="nil"/>
              <w:left w:val="nil"/>
              <w:bottom w:val="nil"/>
              <w:right w:val="nil"/>
            </w:tcBorders>
            <w:vAlign w:val="center"/>
          </w:tcPr>
          <w:p w14:paraId="62CB1EC5"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25684D20" w14:textId="73752FDD" w:rsidR="00F949D4" w:rsidRPr="00011786" w:rsidRDefault="00F949D4" w:rsidP="00F949D4">
            <w:pPr>
              <w:spacing w:after="0"/>
              <w:jc w:val="right"/>
              <w:rPr>
                <w:rFonts w:eastAsia="Times New Roman"/>
                <w:sz w:val="22"/>
                <w:szCs w:val="22"/>
              </w:rPr>
            </w:pPr>
            <w:r w:rsidRPr="00011786">
              <w:rPr>
                <w:color w:val="000000"/>
                <w:sz w:val="22"/>
                <w:szCs w:val="22"/>
              </w:rPr>
              <w:t>8.94</w:t>
            </w:r>
          </w:p>
        </w:tc>
        <w:tc>
          <w:tcPr>
            <w:tcW w:w="323" w:type="dxa"/>
            <w:tcBorders>
              <w:top w:val="nil"/>
              <w:left w:val="nil"/>
              <w:bottom w:val="nil"/>
              <w:right w:val="nil"/>
            </w:tcBorders>
            <w:vAlign w:val="center"/>
          </w:tcPr>
          <w:p w14:paraId="3A15ACFE"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nil"/>
              <w:right w:val="nil"/>
            </w:tcBorders>
            <w:vAlign w:val="center"/>
          </w:tcPr>
          <w:p w14:paraId="6C9A64C3" w14:textId="2537B27E" w:rsidR="00F949D4" w:rsidRPr="00011786" w:rsidRDefault="00F949D4" w:rsidP="00F949D4">
            <w:pPr>
              <w:spacing w:after="0"/>
              <w:jc w:val="right"/>
              <w:rPr>
                <w:rFonts w:eastAsia="Times New Roman"/>
                <w:sz w:val="22"/>
                <w:szCs w:val="22"/>
              </w:rPr>
            </w:pPr>
            <w:r w:rsidRPr="00011786">
              <w:rPr>
                <w:color w:val="000000"/>
                <w:sz w:val="22"/>
                <w:szCs w:val="22"/>
              </w:rPr>
              <w:t>8.54</w:t>
            </w:r>
          </w:p>
        </w:tc>
        <w:tc>
          <w:tcPr>
            <w:tcW w:w="625" w:type="dxa"/>
            <w:tcBorders>
              <w:top w:val="nil"/>
              <w:left w:val="nil"/>
              <w:bottom w:val="nil"/>
              <w:right w:val="single" w:sz="4" w:space="0" w:color="auto"/>
            </w:tcBorders>
            <w:vAlign w:val="center"/>
          </w:tcPr>
          <w:p w14:paraId="2D638B22" w14:textId="0BEA6447"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EDD6E44" w14:textId="77777777" w:rsidR="00F949D4" w:rsidRPr="00011786" w:rsidRDefault="00F949D4" w:rsidP="00F949D4">
            <w:pPr>
              <w:spacing w:after="0"/>
              <w:rPr>
                <w:rFonts w:eastAsia="Times New Roman"/>
                <w:sz w:val="22"/>
                <w:szCs w:val="22"/>
              </w:rPr>
            </w:pPr>
            <w:r w:rsidRPr="00011786">
              <w:rPr>
                <w:color w:val="000000"/>
                <w:sz w:val="22"/>
                <w:szCs w:val="22"/>
              </w:rPr>
              <w:t>St. Lucie</w:t>
            </w:r>
          </w:p>
        </w:tc>
        <w:tc>
          <w:tcPr>
            <w:tcW w:w="744" w:type="dxa"/>
            <w:tcBorders>
              <w:top w:val="nil"/>
              <w:left w:val="nil"/>
              <w:bottom w:val="nil"/>
              <w:right w:val="nil"/>
            </w:tcBorders>
            <w:vAlign w:val="center"/>
          </w:tcPr>
          <w:p w14:paraId="6FDC1B84" w14:textId="0FC52C28" w:rsidR="00F949D4" w:rsidRPr="00011786" w:rsidRDefault="00F949D4" w:rsidP="00F949D4">
            <w:pPr>
              <w:spacing w:after="0"/>
              <w:jc w:val="right"/>
              <w:rPr>
                <w:color w:val="000000"/>
                <w:sz w:val="22"/>
                <w:szCs w:val="22"/>
              </w:rPr>
            </w:pPr>
            <w:r w:rsidRPr="00E15B47">
              <w:rPr>
                <w:color w:val="000000"/>
                <w:sz w:val="22"/>
                <w:szCs w:val="22"/>
              </w:rPr>
              <w:t>–</w:t>
            </w:r>
          </w:p>
        </w:tc>
        <w:tc>
          <w:tcPr>
            <w:tcW w:w="240" w:type="dxa"/>
            <w:tcBorders>
              <w:top w:val="nil"/>
              <w:left w:val="nil"/>
              <w:bottom w:val="nil"/>
              <w:right w:val="nil"/>
            </w:tcBorders>
            <w:vAlign w:val="center"/>
          </w:tcPr>
          <w:p w14:paraId="6A18779C"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65B4EAA2" w14:textId="7CBDA959"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248" w:type="dxa"/>
            <w:tcBorders>
              <w:top w:val="nil"/>
              <w:left w:val="nil"/>
              <w:bottom w:val="nil"/>
              <w:right w:val="nil"/>
            </w:tcBorders>
            <w:vAlign w:val="center"/>
          </w:tcPr>
          <w:p w14:paraId="694822CE"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47B181CD" w14:textId="66A470DD"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556" w:type="dxa"/>
            <w:tcBorders>
              <w:top w:val="nil"/>
              <w:left w:val="nil"/>
              <w:bottom w:val="nil"/>
              <w:right w:val="nil"/>
            </w:tcBorders>
            <w:vAlign w:val="center"/>
          </w:tcPr>
          <w:p w14:paraId="7FCD5F0C" w14:textId="77777777" w:rsidR="00F949D4" w:rsidRPr="00011786" w:rsidRDefault="00F949D4" w:rsidP="00F949D4">
            <w:pPr>
              <w:spacing w:after="0"/>
              <w:jc w:val="right"/>
              <w:rPr>
                <w:rFonts w:eastAsia="Times New Roman"/>
                <w:sz w:val="22"/>
                <w:szCs w:val="22"/>
              </w:rPr>
            </w:pPr>
          </w:p>
        </w:tc>
      </w:tr>
      <w:tr w:rsidR="00F949D4" w:rsidRPr="004E2B94" w14:paraId="288EE8FB" w14:textId="77777777" w:rsidTr="00321E99">
        <w:trPr>
          <w:trHeight w:val="288"/>
        </w:trPr>
        <w:tc>
          <w:tcPr>
            <w:tcW w:w="1439" w:type="dxa"/>
            <w:tcBorders>
              <w:top w:val="nil"/>
              <w:left w:val="nil"/>
              <w:bottom w:val="nil"/>
              <w:right w:val="nil"/>
            </w:tcBorders>
            <w:vAlign w:val="center"/>
          </w:tcPr>
          <w:p w14:paraId="7C4F407C" w14:textId="77777777" w:rsidR="00F949D4" w:rsidRPr="00011786" w:rsidRDefault="00F949D4" w:rsidP="00F949D4">
            <w:pPr>
              <w:spacing w:after="0"/>
              <w:rPr>
                <w:sz w:val="22"/>
                <w:szCs w:val="22"/>
              </w:rPr>
            </w:pPr>
            <w:r w:rsidRPr="00011786">
              <w:rPr>
                <w:color w:val="000000"/>
                <w:sz w:val="22"/>
                <w:szCs w:val="22"/>
              </w:rPr>
              <w:t>Hernando</w:t>
            </w:r>
          </w:p>
        </w:tc>
        <w:tc>
          <w:tcPr>
            <w:tcW w:w="628" w:type="dxa"/>
            <w:tcBorders>
              <w:top w:val="nil"/>
              <w:left w:val="nil"/>
              <w:bottom w:val="nil"/>
              <w:right w:val="nil"/>
            </w:tcBorders>
            <w:vAlign w:val="center"/>
          </w:tcPr>
          <w:p w14:paraId="0769CC09" w14:textId="328D2428" w:rsidR="00F949D4" w:rsidRPr="00E15B47" w:rsidRDefault="00F949D4" w:rsidP="00F949D4">
            <w:pPr>
              <w:spacing w:after="0"/>
              <w:jc w:val="right"/>
              <w:rPr>
                <w:i/>
                <w:color w:val="000000"/>
                <w:sz w:val="22"/>
                <w:szCs w:val="22"/>
              </w:rPr>
            </w:pPr>
            <w:r w:rsidRPr="00E15B47">
              <w:rPr>
                <w:color w:val="000000"/>
                <w:sz w:val="22"/>
                <w:szCs w:val="22"/>
              </w:rPr>
              <w:t>–</w:t>
            </w:r>
          </w:p>
        </w:tc>
        <w:tc>
          <w:tcPr>
            <w:tcW w:w="236" w:type="dxa"/>
            <w:tcBorders>
              <w:top w:val="nil"/>
              <w:left w:val="nil"/>
              <w:bottom w:val="nil"/>
              <w:right w:val="nil"/>
            </w:tcBorders>
            <w:vAlign w:val="center"/>
          </w:tcPr>
          <w:p w14:paraId="00C539D5" w14:textId="77777777" w:rsidR="00F949D4" w:rsidRPr="00E15B47" w:rsidRDefault="00F949D4" w:rsidP="00F949D4">
            <w:pPr>
              <w:spacing w:after="0"/>
              <w:jc w:val="right"/>
              <w:rPr>
                <w:i/>
                <w:color w:val="000000"/>
                <w:sz w:val="22"/>
                <w:szCs w:val="22"/>
              </w:rPr>
            </w:pPr>
          </w:p>
        </w:tc>
        <w:tc>
          <w:tcPr>
            <w:tcW w:w="767" w:type="dxa"/>
            <w:tcBorders>
              <w:top w:val="nil"/>
              <w:left w:val="nil"/>
              <w:bottom w:val="nil"/>
              <w:right w:val="nil"/>
            </w:tcBorders>
            <w:vAlign w:val="center"/>
          </w:tcPr>
          <w:p w14:paraId="29485B93" w14:textId="7C57B677" w:rsidR="00F949D4" w:rsidRPr="00E15B47" w:rsidRDefault="00F949D4" w:rsidP="00F949D4">
            <w:pPr>
              <w:spacing w:after="0"/>
              <w:jc w:val="right"/>
              <w:rPr>
                <w:rFonts w:eastAsia="Times New Roman"/>
                <w:i/>
                <w:sz w:val="22"/>
                <w:szCs w:val="22"/>
              </w:rPr>
            </w:pPr>
            <w:r w:rsidRPr="00E15B47">
              <w:rPr>
                <w:color w:val="000000"/>
                <w:sz w:val="22"/>
                <w:szCs w:val="22"/>
              </w:rPr>
              <w:t>–</w:t>
            </w:r>
            <w:r>
              <w:rPr>
                <w:color w:val="000000"/>
                <w:sz w:val="22"/>
                <w:szCs w:val="22"/>
              </w:rPr>
              <w:t>  </w:t>
            </w:r>
          </w:p>
        </w:tc>
        <w:tc>
          <w:tcPr>
            <w:tcW w:w="323" w:type="dxa"/>
            <w:tcBorders>
              <w:top w:val="nil"/>
              <w:left w:val="nil"/>
              <w:bottom w:val="nil"/>
              <w:right w:val="nil"/>
            </w:tcBorders>
            <w:vAlign w:val="center"/>
          </w:tcPr>
          <w:p w14:paraId="10AFFD20" w14:textId="77777777" w:rsidR="00F949D4" w:rsidRPr="00E15B47" w:rsidRDefault="00F949D4" w:rsidP="00F949D4">
            <w:pPr>
              <w:spacing w:after="0"/>
              <w:jc w:val="right"/>
              <w:rPr>
                <w:rFonts w:eastAsia="Times New Roman"/>
                <w:i/>
                <w:sz w:val="22"/>
                <w:szCs w:val="22"/>
              </w:rPr>
            </w:pPr>
          </w:p>
        </w:tc>
        <w:tc>
          <w:tcPr>
            <w:tcW w:w="884" w:type="dxa"/>
            <w:tcBorders>
              <w:top w:val="nil"/>
              <w:left w:val="nil"/>
              <w:bottom w:val="nil"/>
              <w:right w:val="nil"/>
            </w:tcBorders>
            <w:vAlign w:val="center"/>
          </w:tcPr>
          <w:p w14:paraId="4A8E5C56" w14:textId="364A2E24" w:rsidR="00F949D4" w:rsidRPr="00E15B47" w:rsidRDefault="00F949D4" w:rsidP="00F949D4">
            <w:pPr>
              <w:spacing w:after="0"/>
              <w:jc w:val="right"/>
              <w:rPr>
                <w:rFonts w:eastAsia="Times New Roman"/>
                <w:i/>
                <w:sz w:val="22"/>
                <w:szCs w:val="22"/>
              </w:rPr>
            </w:pPr>
            <w:r w:rsidRPr="00E15B47">
              <w:rPr>
                <w:color w:val="000000"/>
                <w:sz w:val="22"/>
                <w:szCs w:val="22"/>
              </w:rPr>
              <w:t>–</w:t>
            </w:r>
            <w:r>
              <w:rPr>
                <w:color w:val="000000"/>
                <w:sz w:val="22"/>
                <w:szCs w:val="22"/>
              </w:rPr>
              <w:t>  </w:t>
            </w:r>
          </w:p>
        </w:tc>
        <w:tc>
          <w:tcPr>
            <w:tcW w:w="625" w:type="dxa"/>
            <w:tcBorders>
              <w:top w:val="nil"/>
              <w:left w:val="nil"/>
              <w:bottom w:val="nil"/>
              <w:right w:val="single" w:sz="4" w:space="0" w:color="auto"/>
            </w:tcBorders>
            <w:vAlign w:val="center"/>
          </w:tcPr>
          <w:p w14:paraId="57EDDCE9" w14:textId="2D00BF19"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B40B910" w14:textId="77777777" w:rsidR="00F949D4" w:rsidRPr="00011786" w:rsidRDefault="00F949D4" w:rsidP="00F949D4">
            <w:pPr>
              <w:spacing w:after="0"/>
              <w:rPr>
                <w:rFonts w:eastAsia="Times New Roman"/>
                <w:sz w:val="22"/>
                <w:szCs w:val="22"/>
              </w:rPr>
            </w:pPr>
            <w:r w:rsidRPr="00011786">
              <w:rPr>
                <w:color w:val="000000"/>
                <w:sz w:val="22"/>
                <w:szCs w:val="22"/>
              </w:rPr>
              <w:t>Sumter</w:t>
            </w:r>
          </w:p>
        </w:tc>
        <w:tc>
          <w:tcPr>
            <w:tcW w:w="744" w:type="dxa"/>
            <w:tcBorders>
              <w:top w:val="nil"/>
              <w:left w:val="nil"/>
              <w:bottom w:val="nil"/>
              <w:right w:val="nil"/>
            </w:tcBorders>
            <w:vAlign w:val="center"/>
          </w:tcPr>
          <w:p w14:paraId="5D0877DF" w14:textId="5243F224" w:rsidR="00F949D4" w:rsidRPr="00011786" w:rsidRDefault="00F949D4" w:rsidP="00F949D4">
            <w:pPr>
              <w:spacing w:after="0"/>
              <w:jc w:val="right"/>
              <w:rPr>
                <w:color w:val="000000"/>
                <w:sz w:val="22"/>
                <w:szCs w:val="22"/>
              </w:rPr>
            </w:pPr>
            <w:r w:rsidRPr="00E15B47">
              <w:rPr>
                <w:color w:val="000000"/>
                <w:sz w:val="22"/>
                <w:szCs w:val="22"/>
              </w:rPr>
              <w:t>–</w:t>
            </w:r>
          </w:p>
        </w:tc>
        <w:tc>
          <w:tcPr>
            <w:tcW w:w="240" w:type="dxa"/>
            <w:tcBorders>
              <w:top w:val="nil"/>
              <w:left w:val="nil"/>
              <w:bottom w:val="nil"/>
              <w:right w:val="nil"/>
            </w:tcBorders>
            <w:vAlign w:val="center"/>
          </w:tcPr>
          <w:p w14:paraId="28EB96C8"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6D0D71C0" w14:textId="738C221C"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248" w:type="dxa"/>
            <w:tcBorders>
              <w:top w:val="nil"/>
              <w:left w:val="nil"/>
              <w:bottom w:val="nil"/>
              <w:right w:val="nil"/>
            </w:tcBorders>
            <w:vAlign w:val="center"/>
          </w:tcPr>
          <w:p w14:paraId="748C3564"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7104384A" w14:textId="0ADE4581"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556" w:type="dxa"/>
            <w:tcBorders>
              <w:top w:val="nil"/>
              <w:left w:val="nil"/>
              <w:bottom w:val="nil"/>
              <w:right w:val="nil"/>
            </w:tcBorders>
            <w:vAlign w:val="center"/>
          </w:tcPr>
          <w:p w14:paraId="49F07395" w14:textId="77777777" w:rsidR="00F949D4" w:rsidRPr="00011786" w:rsidRDefault="00F949D4" w:rsidP="00F949D4">
            <w:pPr>
              <w:spacing w:after="0"/>
              <w:jc w:val="right"/>
              <w:rPr>
                <w:rFonts w:eastAsia="Times New Roman"/>
                <w:sz w:val="22"/>
                <w:szCs w:val="22"/>
              </w:rPr>
            </w:pPr>
          </w:p>
        </w:tc>
      </w:tr>
      <w:tr w:rsidR="00011786" w:rsidRPr="004E2B94" w14:paraId="33C4D652" w14:textId="77777777" w:rsidTr="00321E99">
        <w:trPr>
          <w:trHeight w:val="288"/>
        </w:trPr>
        <w:tc>
          <w:tcPr>
            <w:tcW w:w="1439" w:type="dxa"/>
            <w:tcBorders>
              <w:top w:val="nil"/>
              <w:left w:val="nil"/>
              <w:bottom w:val="nil"/>
              <w:right w:val="nil"/>
            </w:tcBorders>
            <w:vAlign w:val="center"/>
          </w:tcPr>
          <w:p w14:paraId="0D8CB476" w14:textId="77777777" w:rsidR="00D067DF" w:rsidRPr="00011786" w:rsidRDefault="00D067DF" w:rsidP="00011786">
            <w:pPr>
              <w:spacing w:after="0"/>
              <w:rPr>
                <w:i/>
                <w:sz w:val="22"/>
                <w:szCs w:val="22"/>
              </w:rPr>
            </w:pPr>
            <w:r w:rsidRPr="00011786">
              <w:rPr>
                <w:color w:val="000000"/>
                <w:sz w:val="22"/>
                <w:szCs w:val="22"/>
              </w:rPr>
              <w:t>Highlands</w:t>
            </w:r>
          </w:p>
        </w:tc>
        <w:tc>
          <w:tcPr>
            <w:tcW w:w="628" w:type="dxa"/>
            <w:tcBorders>
              <w:top w:val="nil"/>
              <w:left w:val="nil"/>
              <w:bottom w:val="nil"/>
              <w:right w:val="nil"/>
            </w:tcBorders>
            <w:vAlign w:val="center"/>
          </w:tcPr>
          <w:p w14:paraId="69F3CD16" w14:textId="77777777" w:rsidR="00D067DF" w:rsidRPr="00011786" w:rsidRDefault="00D067DF" w:rsidP="00011786">
            <w:pPr>
              <w:spacing w:after="0"/>
              <w:jc w:val="right"/>
              <w:rPr>
                <w:color w:val="000000"/>
                <w:sz w:val="22"/>
                <w:szCs w:val="22"/>
              </w:rPr>
            </w:pPr>
            <w:r w:rsidRPr="00011786">
              <w:rPr>
                <w:color w:val="000000"/>
                <w:sz w:val="22"/>
                <w:szCs w:val="22"/>
              </w:rPr>
              <w:t>1</w:t>
            </w:r>
          </w:p>
        </w:tc>
        <w:tc>
          <w:tcPr>
            <w:tcW w:w="236" w:type="dxa"/>
            <w:tcBorders>
              <w:top w:val="nil"/>
              <w:left w:val="nil"/>
              <w:bottom w:val="nil"/>
              <w:right w:val="nil"/>
            </w:tcBorders>
            <w:vAlign w:val="center"/>
          </w:tcPr>
          <w:p w14:paraId="490FA400"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78137A20" w14:textId="7A65E3EA" w:rsidR="00D067DF" w:rsidRPr="00011786" w:rsidRDefault="00D067DF" w:rsidP="00011786">
            <w:pPr>
              <w:spacing w:after="0"/>
              <w:jc w:val="right"/>
              <w:rPr>
                <w:rFonts w:eastAsia="Times New Roman"/>
                <w:sz w:val="22"/>
                <w:szCs w:val="22"/>
              </w:rPr>
            </w:pPr>
            <w:r w:rsidRPr="00011786">
              <w:rPr>
                <w:color w:val="000000"/>
                <w:sz w:val="22"/>
                <w:szCs w:val="22"/>
              </w:rPr>
              <w:t>1.10</w:t>
            </w:r>
          </w:p>
        </w:tc>
        <w:tc>
          <w:tcPr>
            <w:tcW w:w="323" w:type="dxa"/>
            <w:tcBorders>
              <w:top w:val="nil"/>
              <w:left w:val="nil"/>
              <w:bottom w:val="nil"/>
              <w:right w:val="nil"/>
            </w:tcBorders>
            <w:vAlign w:val="center"/>
          </w:tcPr>
          <w:p w14:paraId="64A996E5"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590EBD1C" w14:textId="4D61AE6F" w:rsidR="00D067DF" w:rsidRPr="00011786" w:rsidRDefault="00D067DF" w:rsidP="00011786">
            <w:pPr>
              <w:spacing w:after="0"/>
              <w:jc w:val="right"/>
              <w:rPr>
                <w:rFonts w:eastAsia="Times New Roman"/>
                <w:sz w:val="22"/>
                <w:szCs w:val="22"/>
              </w:rPr>
            </w:pPr>
            <w:r w:rsidRPr="00011786">
              <w:rPr>
                <w:color w:val="000000"/>
                <w:sz w:val="22"/>
                <w:szCs w:val="22"/>
              </w:rPr>
              <w:t>1.42</w:t>
            </w:r>
          </w:p>
        </w:tc>
        <w:tc>
          <w:tcPr>
            <w:tcW w:w="625" w:type="dxa"/>
            <w:tcBorders>
              <w:top w:val="nil"/>
              <w:left w:val="nil"/>
              <w:bottom w:val="nil"/>
              <w:right w:val="single" w:sz="4" w:space="0" w:color="auto"/>
            </w:tcBorders>
            <w:vAlign w:val="center"/>
          </w:tcPr>
          <w:p w14:paraId="1E410D92" w14:textId="3E47D455"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40B25BE7" w14:textId="77777777" w:rsidR="00D067DF" w:rsidRPr="00011786" w:rsidRDefault="00D067DF" w:rsidP="00011786">
            <w:pPr>
              <w:spacing w:after="0"/>
              <w:rPr>
                <w:rFonts w:eastAsia="Times New Roman"/>
                <w:sz w:val="22"/>
                <w:szCs w:val="22"/>
              </w:rPr>
            </w:pPr>
            <w:r w:rsidRPr="00011786">
              <w:rPr>
                <w:color w:val="000000"/>
                <w:sz w:val="22"/>
                <w:szCs w:val="22"/>
              </w:rPr>
              <w:t>Suwannee</w:t>
            </w:r>
          </w:p>
        </w:tc>
        <w:tc>
          <w:tcPr>
            <w:tcW w:w="744" w:type="dxa"/>
            <w:tcBorders>
              <w:top w:val="nil"/>
              <w:left w:val="nil"/>
              <w:bottom w:val="nil"/>
              <w:right w:val="nil"/>
            </w:tcBorders>
            <w:vAlign w:val="center"/>
          </w:tcPr>
          <w:p w14:paraId="157C79CC"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40" w:type="dxa"/>
            <w:tcBorders>
              <w:top w:val="nil"/>
              <w:left w:val="nil"/>
              <w:bottom w:val="nil"/>
              <w:right w:val="nil"/>
            </w:tcBorders>
            <w:vAlign w:val="center"/>
          </w:tcPr>
          <w:p w14:paraId="63594885"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4DAEF96D" w14:textId="30206BE4" w:rsidR="00D067DF" w:rsidRPr="00011786" w:rsidRDefault="00D067DF" w:rsidP="00011786">
            <w:pPr>
              <w:spacing w:after="0"/>
              <w:jc w:val="right"/>
              <w:rPr>
                <w:rFonts w:eastAsia="Times New Roman"/>
                <w:sz w:val="22"/>
                <w:szCs w:val="22"/>
              </w:rPr>
            </w:pPr>
            <w:r w:rsidRPr="00011786">
              <w:rPr>
                <w:color w:val="000000"/>
                <w:sz w:val="22"/>
                <w:szCs w:val="22"/>
              </w:rPr>
              <w:t>0</w:t>
            </w:r>
            <w:r w:rsidR="00FD7DA6" w:rsidRPr="00011786">
              <w:rPr>
                <w:color w:val="000000"/>
                <w:sz w:val="22"/>
                <w:szCs w:val="22"/>
              </w:rPr>
              <w:t>.00</w:t>
            </w:r>
          </w:p>
        </w:tc>
        <w:tc>
          <w:tcPr>
            <w:tcW w:w="248" w:type="dxa"/>
            <w:tcBorders>
              <w:top w:val="nil"/>
              <w:left w:val="nil"/>
              <w:bottom w:val="nil"/>
              <w:right w:val="nil"/>
            </w:tcBorders>
            <w:vAlign w:val="center"/>
          </w:tcPr>
          <w:p w14:paraId="071D7069"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7340061B" w14:textId="67D95165"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556" w:type="dxa"/>
            <w:tcBorders>
              <w:top w:val="nil"/>
              <w:left w:val="nil"/>
              <w:bottom w:val="nil"/>
              <w:right w:val="nil"/>
            </w:tcBorders>
            <w:vAlign w:val="center"/>
          </w:tcPr>
          <w:p w14:paraId="7A373A4F" w14:textId="77777777" w:rsidR="00D067DF" w:rsidRPr="00011786" w:rsidRDefault="00D067DF" w:rsidP="00011786">
            <w:pPr>
              <w:spacing w:after="0"/>
              <w:jc w:val="right"/>
              <w:rPr>
                <w:rFonts w:eastAsia="Times New Roman"/>
                <w:sz w:val="22"/>
                <w:szCs w:val="22"/>
              </w:rPr>
            </w:pPr>
          </w:p>
        </w:tc>
      </w:tr>
      <w:tr w:rsidR="00011786" w:rsidRPr="004E2B94" w14:paraId="3D3E06F8" w14:textId="77777777" w:rsidTr="00321E99">
        <w:trPr>
          <w:trHeight w:val="288"/>
        </w:trPr>
        <w:tc>
          <w:tcPr>
            <w:tcW w:w="1439" w:type="dxa"/>
            <w:tcBorders>
              <w:top w:val="nil"/>
              <w:left w:val="nil"/>
              <w:bottom w:val="nil"/>
              <w:right w:val="nil"/>
            </w:tcBorders>
            <w:vAlign w:val="center"/>
          </w:tcPr>
          <w:p w14:paraId="215ED7BD" w14:textId="77777777" w:rsidR="00D067DF" w:rsidRPr="00011786" w:rsidRDefault="00D067DF" w:rsidP="00011786">
            <w:pPr>
              <w:spacing w:after="0"/>
              <w:rPr>
                <w:i/>
                <w:sz w:val="22"/>
                <w:szCs w:val="22"/>
              </w:rPr>
            </w:pPr>
            <w:r w:rsidRPr="00011786">
              <w:rPr>
                <w:color w:val="000000"/>
                <w:sz w:val="22"/>
                <w:szCs w:val="22"/>
              </w:rPr>
              <w:t>Hillsborough</w:t>
            </w:r>
          </w:p>
        </w:tc>
        <w:tc>
          <w:tcPr>
            <w:tcW w:w="628" w:type="dxa"/>
            <w:tcBorders>
              <w:top w:val="nil"/>
              <w:left w:val="nil"/>
              <w:bottom w:val="nil"/>
              <w:right w:val="nil"/>
            </w:tcBorders>
            <w:vAlign w:val="center"/>
          </w:tcPr>
          <w:p w14:paraId="4E87403B" w14:textId="77777777" w:rsidR="00D067DF" w:rsidRPr="00011786" w:rsidRDefault="00D067DF" w:rsidP="00011786">
            <w:pPr>
              <w:spacing w:after="0"/>
              <w:jc w:val="right"/>
              <w:rPr>
                <w:color w:val="000000"/>
                <w:sz w:val="22"/>
                <w:szCs w:val="22"/>
              </w:rPr>
            </w:pPr>
            <w:r w:rsidRPr="00011786">
              <w:rPr>
                <w:color w:val="000000"/>
                <w:sz w:val="22"/>
                <w:szCs w:val="22"/>
              </w:rPr>
              <w:t>90</w:t>
            </w:r>
          </w:p>
        </w:tc>
        <w:tc>
          <w:tcPr>
            <w:tcW w:w="236" w:type="dxa"/>
            <w:tcBorders>
              <w:top w:val="nil"/>
              <w:left w:val="nil"/>
              <w:bottom w:val="nil"/>
              <w:right w:val="nil"/>
            </w:tcBorders>
            <w:vAlign w:val="center"/>
          </w:tcPr>
          <w:p w14:paraId="35B7F7B8"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6DA710FA" w14:textId="6DD788AB" w:rsidR="00D067DF" w:rsidRPr="00011786" w:rsidRDefault="00D067DF" w:rsidP="00011786">
            <w:pPr>
              <w:spacing w:after="0"/>
              <w:jc w:val="right"/>
              <w:rPr>
                <w:rFonts w:eastAsia="Times New Roman"/>
                <w:sz w:val="22"/>
                <w:szCs w:val="22"/>
              </w:rPr>
            </w:pPr>
            <w:r w:rsidRPr="00011786">
              <w:rPr>
                <w:color w:val="000000"/>
                <w:sz w:val="22"/>
                <w:szCs w:val="22"/>
              </w:rPr>
              <w:t>7.64</w:t>
            </w:r>
          </w:p>
        </w:tc>
        <w:tc>
          <w:tcPr>
            <w:tcW w:w="323" w:type="dxa"/>
            <w:tcBorders>
              <w:top w:val="nil"/>
              <w:left w:val="nil"/>
              <w:bottom w:val="nil"/>
              <w:right w:val="nil"/>
            </w:tcBorders>
            <w:vAlign w:val="center"/>
          </w:tcPr>
          <w:p w14:paraId="470EB442"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1A2612E8" w14:textId="376DC532" w:rsidR="00D067DF" w:rsidRPr="00011786" w:rsidRDefault="00D067DF" w:rsidP="00011786">
            <w:pPr>
              <w:spacing w:after="0"/>
              <w:jc w:val="right"/>
              <w:rPr>
                <w:rFonts w:eastAsia="Times New Roman"/>
                <w:sz w:val="22"/>
                <w:szCs w:val="22"/>
              </w:rPr>
            </w:pPr>
            <w:r w:rsidRPr="00011786">
              <w:rPr>
                <w:color w:val="000000"/>
                <w:sz w:val="22"/>
                <w:szCs w:val="22"/>
              </w:rPr>
              <w:t>7.10</w:t>
            </w:r>
          </w:p>
        </w:tc>
        <w:tc>
          <w:tcPr>
            <w:tcW w:w="625" w:type="dxa"/>
            <w:tcBorders>
              <w:top w:val="nil"/>
              <w:left w:val="nil"/>
              <w:bottom w:val="nil"/>
              <w:right w:val="single" w:sz="4" w:space="0" w:color="auto"/>
            </w:tcBorders>
            <w:vAlign w:val="center"/>
          </w:tcPr>
          <w:p w14:paraId="3D433D6F" w14:textId="03A0B364"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798937B" w14:textId="77777777" w:rsidR="00D067DF" w:rsidRPr="00011786" w:rsidRDefault="00D067DF" w:rsidP="00011786">
            <w:pPr>
              <w:spacing w:after="0"/>
              <w:rPr>
                <w:rFonts w:eastAsia="Times New Roman"/>
                <w:sz w:val="22"/>
                <w:szCs w:val="22"/>
              </w:rPr>
            </w:pPr>
            <w:r w:rsidRPr="00011786">
              <w:rPr>
                <w:color w:val="000000"/>
                <w:sz w:val="22"/>
                <w:szCs w:val="22"/>
              </w:rPr>
              <w:t>Taylor</w:t>
            </w:r>
          </w:p>
        </w:tc>
        <w:tc>
          <w:tcPr>
            <w:tcW w:w="744" w:type="dxa"/>
            <w:tcBorders>
              <w:top w:val="nil"/>
              <w:left w:val="nil"/>
              <w:bottom w:val="nil"/>
              <w:right w:val="nil"/>
            </w:tcBorders>
            <w:vAlign w:val="center"/>
          </w:tcPr>
          <w:p w14:paraId="135EAC74"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40" w:type="dxa"/>
            <w:tcBorders>
              <w:top w:val="nil"/>
              <w:left w:val="nil"/>
              <w:bottom w:val="nil"/>
              <w:right w:val="nil"/>
            </w:tcBorders>
            <w:vAlign w:val="center"/>
          </w:tcPr>
          <w:p w14:paraId="320A9EA8"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1D9AB2BA" w14:textId="51D711D8" w:rsidR="00D067DF" w:rsidRPr="00011786" w:rsidRDefault="00D067DF" w:rsidP="00011786">
            <w:pPr>
              <w:spacing w:after="0"/>
              <w:jc w:val="right"/>
              <w:rPr>
                <w:rFonts w:eastAsia="Times New Roman"/>
                <w:sz w:val="22"/>
                <w:szCs w:val="22"/>
              </w:rPr>
            </w:pPr>
            <w:r w:rsidRPr="00011786">
              <w:rPr>
                <w:color w:val="000000"/>
                <w:sz w:val="22"/>
                <w:szCs w:val="22"/>
              </w:rPr>
              <w:t>0</w:t>
            </w:r>
            <w:r w:rsidR="00FD7DA6" w:rsidRPr="00011786">
              <w:rPr>
                <w:color w:val="000000"/>
                <w:sz w:val="22"/>
                <w:szCs w:val="22"/>
              </w:rPr>
              <w:t>.00</w:t>
            </w:r>
          </w:p>
        </w:tc>
        <w:tc>
          <w:tcPr>
            <w:tcW w:w="248" w:type="dxa"/>
            <w:tcBorders>
              <w:top w:val="nil"/>
              <w:left w:val="nil"/>
              <w:bottom w:val="nil"/>
              <w:right w:val="nil"/>
            </w:tcBorders>
            <w:vAlign w:val="center"/>
          </w:tcPr>
          <w:p w14:paraId="60E3908C"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5C755591" w14:textId="17147140"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556" w:type="dxa"/>
            <w:tcBorders>
              <w:top w:val="nil"/>
              <w:left w:val="nil"/>
              <w:bottom w:val="nil"/>
              <w:right w:val="nil"/>
            </w:tcBorders>
            <w:vAlign w:val="center"/>
          </w:tcPr>
          <w:p w14:paraId="1C6080E8" w14:textId="77777777" w:rsidR="00D067DF" w:rsidRPr="00011786" w:rsidRDefault="00D067DF" w:rsidP="00011786">
            <w:pPr>
              <w:spacing w:after="0"/>
              <w:jc w:val="right"/>
              <w:rPr>
                <w:rFonts w:eastAsia="Times New Roman"/>
                <w:sz w:val="22"/>
                <w:szCs w:val="22"/>
              </w:rPr>
            </w:pPr>
          </w:p>
        </w:tc>
      </w:tr>
      <w:tr w:rsidR="00011786" w:rsidRPr="004E2B94" w14:paraId="2479F7BA" w14:textId="77777777" w:rsidTr="00321E99">
        <w:trPr>
          <w:trHeight w:val="288"/>
        </w:trPr>
        <w:tc>
          <w:tcPr>
            <w:tcW w:w="1439" w:type="dxa"/>
            <w:tcBorders>
              <w:top w:val="nil"/>
              <w:left w:val="nil"/>
              <w:bottom w:val="nil"/>
              <w:right w:val="nil"/>
            </w:tcBorders>
            <w:vAlign w:val="center"/>
          </w:tcPr>
          <w:p w14:paraId="0F9E24E6" w14:textId="77777777" w:rsidR="00D067DF" w:rsidRPr="00011786" w:rsidRDefault="00D067DF" w:rsidP="00011786">
            <w:pPr>
              <w:spacing w:after="0"/>
              <w:rPr>
                <w:i/>
                <w:sz w:val="22"/>
                <w:szCs w:val="22"/>
              </w:rPr>
            </w:pPr>
            <w:r w:rsidRPr="00011786">
              <w:rPr>
                <w:color w:val="000000"/>
                <w:sz w:val="22"/>
                <w:szCs w:val="22"/>
              </w:rPr>
              <w:t>Holmes</w:t>
            </w:r>
          </w:p>
        </w:tc>
        <w:tc>
          <w:tcPr>
            <w:tcW w:w="628" w:type="dxa"/>
            <w:tcBorders>
              <w:top w:val="nil"/>
              <w:left w:val="nil"/>
              <w:bottom w:val="nil"/>
              <w:right w:val="nil"/>
            </w:tcBorders>
            <w:vAlign w:val="center"/>
          </w:tcPr>
          <w:p w14:paraId="40FA4600" w14:textId="77777777" w:rsidR="00D067DF" w:rsidRPr="00011786" w:rsidRDefault="00D067DF" w:rsidP="00011786">
            <w:pPr>
              <w:spacing w:after="0"/>
              <w:jc w:val="right"/>
              <w:rPr>
                <w:color w:val="000000"/>
                <w:sz w:val="22"/>
                <w:szCs w:val="22"/>
              </w:rPr>
            </w:pPr>
            <w:r w:rsidRPr="00011786">
              <w:rPr>
                <w:color w:val="000000"/>
                <w:sz w:val="22"/>
                <w:szCs w:val="22"/>
              </w:rPr>
              <w:t>1</w:t>
            </w:r>
          </w:p>
        </w:tc>
        <w:tc>
          <w:tcPr>
            <w:tcW w:w="236" w:type="dxa"/>
            <w:tcBorders>
              <w:top w:val="nil"/>
              <w:left w:val="nil"/>
              <w:bottom w:val="nil"/>
              <w:right w:val="nil"/>
            </w:tcBorders>
            <w:vAlign w:val="center"/>
          </w:tcPr>
          <w:p w14:paraId="5C5C3B8D"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596569FC" w14:textId="03C21A79" w:rsidR="00D067DF" w:rsidRPr="00011786" w:rsidRDefault="00D067DF" w:rsidP="00011786">
            <w:pPr>
              <w:spacing w:after="0"/>
              <w:jc w:val="right"/>
              <w:rPr>
                <w:rFonts w:eastAsia="Times New Roman"/>
                <w:sz w:val="22"/>
                <w:szCs w:val="22"/>
              </w:rPr>
            </w:pPr>
            <w:r w:rsidRPr="00011786">
              <w:rPr>
                <w:color w:val="000000"/>
                <w:sz w:val="22"/>
                <w:szCs w:val="22"/>
              </w:rPr>
              <w:t>5.78</w:t>
            </w:r>
          </w:p>
        </w:tc>
        <w:tc>
          <w:tcPr>
            <w:tcW w:w="323" w:type="dxa"/>
            <w:tcBorders>
              <w:top w:val="nil"/>
              <w:left w:val="nil"/>
              <w:bottom w:val="nil"/>
              <w:right w:val="nil"/>
            </w:tcBorders>
            <w:vAlign w:val="center"/>
          </w:tcPr>
          <w:p w14:paraId="7BACFD89"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36877744" w14:textId="0932E616" w:rsidR="00D067DF" w:rsidRPr="00011786" w:rsidRDefault="00D067DF" w:rsidP="00011786">
            <w:pPr>
              <w:spacing w:after="0"/>
              <w:jc w:val="right"/>
              <w:rPr>
                <w:rFonts w:eastAsia="Times New Roman"/>
                <w:sz w:val="22"/>
                <w:szCs w:val="22"/>
              </w:rPr>
            </w:pPr>
            <w:r w:rsidRPr="00011786">
              <w:rPr>
                <w:color w:val="000000"/>
                <w:sz w:val="22"/>
                <w:szCs w:val="22"/>
              </w:rPr>
              <w:t>5.64</w:t>
            </w:r>
          </w:p>
        </w:tc>
        <w:tc>
          <w:tcPr>
            <w:tcW w:w="625" w:type="dxa"/>
            <w:tcBorders>
              <w:top w:val="nil"/>
              <w:left w:val="nil"/>
              <w:bottom w:val="nil"/>
              <w:right w:val="single" w:sz="4" w:space="0" w:color="auto"/>
            </w:tcBorders>
            <w:vAlign w:val="center"/>
          </w:tcPr>
          <w:p w14:paraId="229FD99E" w14:textId="2405557A"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96C398B" w14:textId="77777777" w:rsidR="00D067DF" w:rsidRPr="00011786" w:rsidRDefault="00D067DF" w:rsidP="00011786">
            <w:pPr>
              <w:spacing w:after="0"/>
              <w:rPr>
                <w:rFonts w:eastAsia="Times New Roman"/>
                <w:sz w:val="22"/>
                <w:szCs w:val="22"/>
              </w:rPr>
            </w:pPr>
            <w:r w:rsidRPr="00011786">
              <w:rPr>
                <w:color w:val="000000"/>
                <w:sz w:val="22"/>
                <w:szCs w:val="22"/>
              </w:rPr>
              <w:t>Union</w:t>
            </w:r>
          </w:p>
        </w:tc>
        <w:tc>
          <w:tcPr>
            <w:tcW w:w="744" w:type="dxa"/>
            <w:tcBorders>
              <w:top w:val="nil"/>
              <w:left w:val="nil"/>
              <w:bottom w:val="nil"/>
              <w:right w:val="nil"/>
            </w:tcBorders>
            <w:vAlign w:val="center"/>
          </w:tcPr>
          <w:p w14:paraId="77E87DB5" w14:textId="77777777" w:rsidR="00D067DF" w:rsidRPr="00011786" w:rsidRDefault="00D067DF" w:rsidP="00011786">
            <w:pPr>
              <w:spacing w:after="0"/>
              <w:jc w:val="right"/>
              <w:rPr>
                <w:color w:val="000000"/>
                <w:sz w:val="22"/>
                <w:szCs w:val="22"/>
              </w:rPr>
            </w:pPr>
            <w:r w:rsidRPr="00011786">
              <w:rPr>
                <w:color w:val="000000"/>
                <w:sz w:val="22"/>
                <w:szCs w:val="22"/>
              </w:rPr>
              <w:t>1</w:t>
            </w:r>
          </w:p>
        </w:tc>
        <w:tc>
          <w:tcPr>
            <w:tcW w:w="240" w:type="dxa"/>
            <w:tcBorders>
              <w:top w:val="nil"/>
              <w:left w:val="nil"/>
              <w:bottom w:val="nil"/>
              <w:right w:val="nil"/>
            </w:tcBorders>
            <w:vAlign w:val="center"/>
          </w:tcPr>
          <w:p w14:paraId="2D2B7E65"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1DD627D9" w14:textId="0BAEEFD9" w:rsidR="00D067DF" w:rsidRPr="00011786" w:rsidRDefault="00D067DF" w:rsidP="00011786">
            <w:pPr>
              <w:spacing w:after="0"/>
              <w:jc w:val="right"/>
              <w:rPr>
                <w:rFonts w:eastAsia="Times New Roman"/>
                <w:sz w:val="22"/>
                <w:szCs w:val="22"/>
              </w:rPr>
            </w:pPr>
            <w:r w:rsidRPr="00011786">
              <w:rPr>
                <w:color w:val="000000"/>
                <w:sz w:val="22"/>
                <w:szCs w:val="22"/>
              </w:rPr>
              <w:t>7.33</w:t>
            </w:r>
          </w:p>
        </w:tc>
        <w:tc>
          <w:tcPr>
            <w:tcW w:w="248" w:type="dxa"/>
            <w:tcBorders>
              <w:top w:val="nil"/>
              <w:left w:val="nil"/>
              <w:bottom w:val="nil"/>
              <w:right w:val="nil"/>
            </w:tcBorders>
            <w:vAlign w:val="center"/>
          </w:tcPr>
          <w:p w14:paraId="293F094F"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789CA30F" w14:textId="06496AC3" w:rsidR="00D067DF" w:rsidRPr="00011786" w:rsidRDefault="00D067DF" w:rsidP="00011786">
            <w:pPr>
              <w:spacing w:after="0"/>
              <w:jc w:val="right"/>
              <w:rPr>
                <w:rFonts w:eastAsia="Times New Roman"/>
                <w:sz w:val="22"/>
                <w:szCs w:val="22"/>
              </w:rPr>
            </w:pPr>
            <w:r w:rsidRPr="00011786">
              <w:rPr>
                <w:color w:val="000000"/>
                <w:sz w:val="22"/>
                <w:szCs w:val="22"/>
              </w:rPr>
              <w:t>6.11</w:t>
            </w:r>
          </w:p>
        </w:tc>
        <w:tc>
          <w:tcPr>
            <w:tcW w:w="556" w:type="dxa"/>
            <w:tcBorders>
              <w:top w:val="nil"/>
              <w:left w:val="nil"/>
              <w:bottom w:val="nil"/>
              <w:right w:val="nil"/>
            </w:tcBorders>
            <w:vAlign w:val="center"/>
          </w:tcPr>
          <w:p w14:paraId="2C286366" w14:textId="77777777" w:rsidR="00D067DF" w:rsidRPr="00011786" w:rsidRDefault="00D067DF" w:rsidP="00011786">
            <w:pPr>
              <w:spacing w:after="0"/>
              <w:jc w:val="right"/>
              <w:rPr>
                <w:rFonts w:eastAsia="Times New Roman"/>
                <w:sz w:val="22"/>
                <w:szCs w:val="22"/>
              </w:rPr>
            </w:pPr>
          </w:p>
        </w:tc>
      </w:tr>
      <w:tr w:rsidR="00F949D4" w:rsidRPr="004E2B94" w14:paraId="59B06462" w14:textId="77777777" w:rsidTr="00321E99">
        <w:trPr>
          <w:trHeight w:val="288"/>
        </w:trPr>
        <w:tc>
          <w:tcPr>
            <w:tcW w:w="1439" w:type="dxa"/>
            <w:tcBorders>
              <w:top w:val="nil"/>
              <w:left w:val="nil"/>
              <w:bottom w:val="nil"/>
              <w:right w:val="nil"/>
            </w:tcBorders>
            <w:vAlign w:val="center"/>
          </w:tcPr>
          <w:p w14:paraId="762172D5" w14:textId="77777777" w:rsidR="00F949D4" w:rsidRPr="00011786" w:rsidRDefault="00F949D4" w:rsidP="00F949D4">
            <w:pPr>
              <w:spacing w:after="0"/>
              <w:rPr>
                <w:sz w:val="22"/>
                <w:szCs w:val="22"/>
              </w:rPr>
            </w:pPr>
            <w:r w:rsidRPr="00011786">
              <w:rPr>
                <w:color w:val="000000"/>
                <w:sz w:val="22"/>
                <w:szCs w:val="22"/>
              </w:rPr>
              <w:t>Indian River</w:t>
            </w:r>
          </w:p>
        </w:tc>
        <w:tc>
          <w:tcPr>
            <w:tcW w:w="628" w:type="dxa"/>
            <w:tcBorders>
              <w:top w:val="nil"/>
              <w:left w:val="nil"/>
              <w:bottom w:val="nil"/>
              <w:right w:val="nil"/>
            </w:tcBorders>
            <w:vAlign w:val="center"/>
          </w:tcPr>
          <w:p w14:paraId="7C3F5487" w14:textId="0575EA07" w:rsidR="00F949D4" w:rsidRPr="00011786" w:rsidRDefault="00F949D4" w:rsidP="00F949D4">
            <w:pPr>
              <w:spacing w:after="0"/>
              <w:jc w:val="right"/>
              <w:rPr>
                <w:color w:val="000000"/>
                <w:sz w:val="22"/>
                <w:szCs w:val="22"/>
              </w:rPr>
            </w:pPr>
            <w:r w:rsidRPr="00E15B47">
              <w:rPr>
                <w:color w:val="000000"/>
                <w:sz w:val="22"/>
                <w:szCs w:val="22"/>
              </w:rPr>
              <w:t>–</w:t>
            </w:r>
          </w:p>
        </w:tc>
        <w:tc>
          <w:tcPr>
            <w:tcW w:w="236" w:type="dxa"/>
            <w:tcBorders>
              <w:top w:val="nil"/>
              <w:left w:val="nil"/>
              <w:bottom w:val="nil"/>
              <w:right w:val="nil"/>
            </w:tcBorders>
            <w:vAlign w:val="center"/>
          </w:tcPr>
          <w:p w14:paraId="249AC8B0"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6111D556" w14:textId="651A000D"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323" w:type="dxa"/>
            <w:tcBorders>
              <w:top w:val="nil"/>
              <w:left w:val="nil"/>
              <w:bottom w:val="nil"/>
              <w:right w:val="nil"/>
            </w:tcBorders>
            <w:vAlign w:val="center"/>
          </w:tcPr>
          <w:p w14:paraId="34A5D8A6"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nil"/>
              <w:right w:val="nil"/>
            </w:tcBorders>
            <w:vAlign w:val="center"/>
          </w:tcPr>
          <w:p w14:paraId="59752ED8" w14:textId="35991D75"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625" w:type="dxa"/>
            <w:tcBorders>
              <w:top w:val="nil"/>
              <w:left w:val="nil"/>
              <w:bottom w:val="nil"/>
              <w:right w:val="single" w:sz="4" w:space="0" w:color="auto"/>
            </w:tcBorders>
            <w:vAlign w:val="center"/>
          </w:tcPr>
          <w:p w14:paraId="04323670" w14:textId="6ECFCAD9"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55F1346" w14:textId="77777777" w:rsidR="00F949D4" w:rsidRPr="00011786" w:rsidRDefault="00F949D4" w:rsidP="00F949D4">
            <w:pPr>
              <w:spacing w:after="0"/>
              <w:rPr>
                <w:rFonts w:eastAsia="Times New Roman"/>
                <w:sz w:val="22"/>
                <w:szCs w:val="22"/>
              </w:rPr>
            </w:pPr>
            <w:r w:rsidRPr="00011786">
              <w:rPr>
                <w:color w:val="000000"/>
                <w:sz w:val="22"/>
                <w:szCs w:val="22"/>
              </w:rPr>
              <w:t>Volusia</w:t>
            </w:r>
          </w:p>
        </w:tc>
        <w:tc>
          <w:tcPr>
            <w:tcW w:w="744" w:type="dxa"/>
            <w:tcBorders>
              <w:top w:val="nil"/>
              <w:left w:val="nil"/>
              <w:bottom w:val="nil"/>
              <w:right w:val="nil"/>
            </w:tcBorders>
            <w:vAlign w:val="center"/>
          </w:tcPr>
          <w:p w14:paraId="7B731AD3" w14:textId="77777777" w:rsidR="00F949D4" w:rsidRPr="00011786" w:rsidRDefault="00F949D4" w:rsidP="00F949D4">
            <w:pPr>
              <w:spacing w:after="0"/>
              <w:jc w:val="right"/>
              <w:rPr>
                <w:color w:val="000000"/>
                <w:sz w:val="22"/>
                <w:szCs w:val="22"/>
              </w:rPr>
            </w:pPr>
            <w:r w:rsidRPr="00011786">
              <w:rPr>
                <w:color w:val="000000"/>
                <w:sz w:val="22"/>
                <w:szCs w:val="22"/>
              </w:rPr>
              <w:t>72</w:t>
            </w:r>
          </w:p>
        </w:tc>
        <w:tc>
          <w:tcPr>
            <w:tcW w:w="240" w:type="dxa"/>
            <w:tcBorders>
              <w:top w:val="nil"/>
              <w:left w:val="nil"/>
              <w:bottom w:val="nil"/>
              <w:right w:val="nil"/>
            </w:tcBorders>
            <w:vAlign w:val="center"/>
          </w:tcPr>
          <w:p w14:paraId="09D90BEA"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3D586C4F" w14:textId="022A8F7B" w:rsidR="00F949D4" w:rsidRPr="00011786" w:rsidRDefault="00F949D4" w:rsidP="00F949D4">
            <w:pPr>
              <w:spacing w:after="0"/>
              <w:jc w:val="right"/>
              <w:rPr>
                <w:rFonts w:eastAsia="Times New Roman"/>
                <w:sz w:val="22"/>
                <w:szCs w:val="22"/>
              </w:rPr>
            </w:pPr>
            <w:r w:rsidRPr="00011786">
              <w:rPr>
                <w:color w:val="000000"/>
                <w:sz w:val="22"/>
                <w:szCs w:val="22"/>
              </w:rPr>
              <w:t>15.38</w:t>
            </w:r>
          </w:p>
        </w:tc>
        <w:tc>
          <w:tcPr>
            <w:tcW w:w="248" w:type="dxa"/>
            <w:tcBorders>
              <w:top w:val="nil"/>
              <w:left w:val="nil"/>
              <w:bottom w:val="nil"/>
              <w:right w:val="nil"/>
            </w:tcBorders>
            <w:vAlign w:val="center"/>
          </w:tcPr>
          <w:p w14:paraId="1E9A91A0"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66AABBD7" w14:textId="49916B65" w:rsidR="00F949D4" w:rsidRPr="00011786" w:rsidRDefault="00F949D4" w:rsidP="00F949D4">
            <w:pPr>
              <w:spacing w:after="0"/>
              <w:jc w:val="right"/>
              <w:rPr>
                <w:rFonts w:eastAsia="Times New Roman"/>
                <w:sz w:val="22"/>
                <w:szCs w:val="22"/>
              </w:rPr>
            </w:pPr>
            <w:r w:rsidRPr="00011786">
              <w:rPr>
                <w:color w:val="000000"/>
                <w:sz w:val="22"/>
                <w:szCs w:val="22"/>
              </w:rPr>
              <w:t>16.77</w:t>
            </w:r>
          </w:p>
        </w:tc>
        <w:tc>
          <w:tcPr>
            <w:tcW w:w="556" w:type="dxa"/>
            <w:tcBorders>
              <w:top w:val="nil"/>
              <w:left w:val="nil"/>
              <w:bottom w:val="nil"/>
              <w:right w:val="nil"/>
            </w:tcBorders>
            <w:vAlign w:val="center"/>
          </w:tcPr>
          <w:p w14:paraId="3EF50AE9" w14:textId="77777777" w:rsidR="00F949D4" w:rsidRPr="00011786" w:rsidRDefault="00F949D4" w:rsidP="00F949D4">
            <w:pPr>
              <w:spacing w:after="0"/>
              <w:jc w:val="right"/>
              <w:rPr>
                <w:rFonts w:eastAsia="Times New Roman"/>
                <w:sz w:val="22"/>
                <w:szCs w:val="22"/>
              </w:rPr>
            </w:pPr>
          </w:p>
        </w:tc>
      </w:tr>
      <w:tr w:rsidR="00011786" w:rsidRPr="004E2B94" w14:paraId="09293265" w14:textId="77777777" w:rsidTr="00321E99">
        <w:trPr>
          <w:trHeight w:val="288"/>
        </w:trPr>
        <w:tc>
          <w:tcPr>
            <w:tcW w:w="1439" w:type="dxa"/>
            <w:tcBorders>
              <w:top w:val="nil"/>
              <w:left w:val="nil"/>
              <w:bottom w:val="nil"/>
              <w:right w:val="nil"/>
            </w:tcBorders>
            <w:vAlign w:val="center"/>
          </w:tcPr>
          <w:p w14:paraId="5F07F857" w14:textId="77777777" w:rsidR="00D067DF" w:rsidRPr="00011786" w:rsidRDefault="00D067DF" w:rsidP="00011786">
            <w:pPr>
              <w:spacing w:after="0"/>
              <w:rPr>
                <w:i/>
                <w:sz w:val="22"/>
                <w:szCs w:val="22"/>
              </w:rPr>
            </w:pPr>
            <w:r w:rsidRPr="00011786">
              <w:rPr>
                <w:color w:val="000000"/>
                <w:sz w:val="22"/>
                <w:szCs w:val="22"/>
              </w:rPr>
              <w:t>Jackson</w:t>
            </w:r>
          </w:p>
        </w:tc>
        <w:tc>
          <w:tcPr>
            <w:tcW w:w="628" w:type="dxa"/>
            <w:tcBorders>
              <w:top w:val="nil"/>
              <w:left w:val="nil"/>
              <w:bottom w:val="nil"/>
              <w:right w:val="nil"/>
            </w:tcBorders>
            <w:vAlign w:val="center"/>
          </w:tcPr>
          <w:p w14:paraId="4FCEFB4B" w14:textId="77777777" w:rsidR="00D067DF" w:rsidRPr="00011786" w:rsidRDefault="00D067DF" w:rsidP="00011786">
            <w:pPr>
              <w:spacing w:after="0"/>
              <w:jc w:val="right"/>
              <w:rPr>
                <w:color w:val="000000"/>
                <w:sz w:val="22"/>
                <w:szCs w:val="22"/>
              </w:rPr>
            </w:pPr>
            <w:r w:rsidRPr="00011786">
              <w:rPr>
                <w:color w:val="000000"/>
                <w:sz w:val="22"/>
                <w:szCs w:val="22"/>
              </w:rPr>
              <w:t>2</w:t>
            </w:r>
          </w:p>
        </w:tc>
        <w:tc>
          <w:tcPr>
            <w:tcW w:w="236" w:type="dxa"/>
            <w:tcBorders>
              <w:top w:val="nil"/>
              <w:left w:val="nil"/>
              <w:bottom w:val="nil"/>
              <w:right w:val="nil"/>
            </w:tcBorders>
            <w:vAlign w:val="center"/>
          </w:tcPr>
          <w:p w14:paraId="528B5658"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467C4F9A" w14:textId="79A40890" w:rsidR="00D067DF" w:rsidRPr="00011786" w:rsidRDefault="00D067DF" w:rsidP="00011786">
            <w:pPr>
              <w:spacing w:after="0"/>
              <w:jc w:val="right"/>
              <w:rPr>
                <w:rFonts w:eastAsia="Times New Roman"/>
                <w:sz w:val="22"/>
                <w:szCs w:val="22"/>
              </w:rPr>
            </w:pPr>
            <w:r w:rsidRPr="00011786">
              <w:rPr>
                <w:color w:val="000000"/>
                <w:sz w:val="22"/>
                <w:szCs w:val="22"/>
              </w:rPr>
              <w:t>4.56</w:t>
            </w:r>
          </w:p>
        </w:tc>
        <w:tc>
          <w:tcPr>
            <w:tcW w:w="323" w:type="dxa"/>
            <w:tcBorders>
              <w:top w:val="nil"/>
              <w:left w:val="nil"/>
              <w:bottom w:val="nil"/>
              <w:right w:val="nil"/>
            </w:tcBorders>
            <w:vAlign w:val="center"/>
          </w:tcPr>
          <w:p w14:paraId="23790165"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743741C6" w14:textId="34D819ED" w:rsidR="00D067DF" w:rsidRPr="00011786" w:rsidRDefault="00D067DF" w:rsidP="00011786">
            <w:pPr>
              <w:spacing w:after="0"/>
              <w:jc w:val="right"/>
              <w:rPr>
                <w:rFonts w:eastAsia="Times New Roman"/>
                <w:sz w:val="22"/>
                <w:szCs w:val="22"/>
              </w:rPr>
            </w:pPr>
            <w:r w:rsidRPr="00011786">
              <w:rPr>
                <w:color w:val="000000"/>
                <w:sz w:val="22"/>
                <w:szCs w:val="22"/>
              </w:rPr>
              <w:t>4.56</w:t>
            </w:r>
          </w:p>
        </w:tc>
        <w:tc>
          <w:tcPr>
            <w:tcW w:w="625" w:type="dxa"/>
            <w:tcBorders>
              <w:top w:val="nil"/>
              <w:left w:val="nil"/>
              <w:bottom w:val="nil"/>
              <w:right w:val="single" w:sz="4" w:space="0" w:color="auto"/>
            </w:tcBorders>
            <w:vAlign w:val="center"/>
          </w:tcPr>
          <w:p w14:paraId="2A06946C" w14:textId="2961AEB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978C607" w14:textId="77777777" w:rsidR="00D067DF" w:rsidRPr="00011786" w:rsidRDefault="00D067DF" w:rsidP="00011786">
            <w:pPr>
              <w:spacing w:after="0"/>
              <w:rPr>
                <w:rFonts w:eastAsia="Times New Roman"/>
                <w:sz w:val="22"/>
                <w:szCs w:val="22"/>
              </w:rPr>
            </w:pPr>
            <w:r w:rsidRPr="00011786">
              <w:rPr>
                <w:color w:val="000000"/>
                <w:sz w:val="22"/>
                <w:szCs w:val="22"/>
              </w:rPr>
              <w:t>Wakulla</w:t>
            </w:r>
          </w:p>
        </w:tc>
        <w:tc>
          <w:tcPr>
            <w:tcW w:w="744" w:type="dxa"/>
            <w:tcBorders>
              <w:top w:val="nil"/>
              <w:left w:val="nil"/>
              <w:bottom w:val="nil"/>
              <w:right w:val="nil"/>
            </w:tcBorders>
            <w:vAlign w:val="center"/>
          </w:tcPr>
          <w:p w14:paraId="0951EFBC"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40" w:type="dxa"/>
            <w:tcBorders>
              <w:top w:val="nil"/>
              <w:left w:val="nil"/>
              <w:bottom w:val="nil"/>
              <w:right w:val="nil"/>
            </w:tcBorders>
            <w:vAlign w:val="center"/>
          </w:tcPr>
          <w:p w14:paraId="2766B612"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272BA2C4" w14:textId="5F1609AB" w:rsidR="00D067DF" w:rsidRPr="00011786" w:rsidRDefault="00D067DF" w:rsidP="00011786">
            <w:pPr>
              <w:spacing w:after="0"/>
              <w:jc w:val="right"/>
              <w:rPr>
                <w:rFonts w:eastAsia="Times New Roman"/>
                <w:sz w:val="22"/>
                <w:szCs w:val="22"/>
              </w:rPr>
            </w:pPr>
            <w:r w:rsidRPr="00011786">
              <w:rPr>
                <w:color w:val="000000"/>
                <w:sz w:val="22"/>
                <w:szCs w:val="22"/>
              </w:rPr>
              <w:t>0</w:t>
            </w:r>
            <w:r w:rsidR="00FD7DA6" w:rsidRPr="00011786">
              <w:rPr>
                <w:color w:val="000000"/>
                <w:sz w:val="22"/>
                <w:szCs w:val="22"/>
              </w:rPr>
              <w:t>.00</w:t>
            </w:r>
          </w:p>
        </w:tc>
        <w:tc>
          <w:tcPr>
            <w:tcW w:w="248" w:type="dxa"/>
            <w:tcBorders>
              <w:top w:val="nil"/>
              <w:left w:val="nil"/>
              <w:bottom w:val="nil"/>
              <w:right w:val="nil"/>
            </w:tcBorders>
            <w:vAlign w:val="center"/>
          </w:tcPr>
          <w:p w14:paraId="02CC4D83"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2A63A1EA" w14:textId="6AD1D024"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556" w:type="dxa"/>
            <w:tcBorders>
              <w:top w:val="nil"/>
              <w:left w:val="nil"/>
              <w:bottom w:val="nil"/>
              <w:right w:val="nil"/>
            </w:tcBorders>
            <w:vAlign w:val="center"/>
          </w:tcPr>
          <w:p w14:paraId="4B474B86" w14:textId="77777777" w:rsidR="00D067DF" w:rsidRPr="00011786" w:rsidRDefault="00D067DF" w:rsidP="00011786">
            <w:pPr>
              <w:spacing w:after="0"/>
              <w:jc w:val="right"/>
              <w:rPr>
                <w:rFonts w:eastAsia="Times New Roman"/>
                <w:sz w:val="22"/>
                <w:szCs w:val="22"/>
              </w:rPr>
            </w:pPr>
          </w:p>
        </w:tc>
      </w:tr>
      <w:tr w:rsidR="00011786" w:rsidRPr="004E2B94" w14:paraId="4008F303" w14:textId="77777777" w:rsidTr="00321E99">
        <w:trPr>
          <w:trHeight w:val="288"/>
        </w:trPr>
        <w:tc>
          <w:tcPr>
            <w:tcW w:w="1439" w:type="dxa"/>
            <w:tcBorders>
              <w:top w:val="nil"/>
              <w:left w:val="nil"/>
              <w:bottom w:val="nil"/>
              <w:right w:val="nil"/>
            </w:tcBorders>
            <w:vAlign w:val="center"/>
          </w:tcPr>
          <w:p w14:paraId="0C7EF096" w14:textId="77777777" w:rsidR="00D067DF" w:rsidRPr="00011786" w:rsidRDefault="00D067DF" w:rsidP="00011786">
            <w:pPr>
              <w:spacing w:after="0"/>
              <w:rPr>
                <w:i/>
                <w:sz w:val="22"/>
                <w:szCs w:val="22"/>
              </w:rPr>
            </w:pPr>
            <w:r w:rsidRPr="00011786">
              <w:rPr>
                <w:color w:val="000000"/>
                <w:sz w:val="22"/>
                <w:szCs w:val="22"/>
              </w:rPr>
              <w:t>Jefferson</w:t>
            </w:r>
          </w:p>
        </w:tc>
        <w:tc>
          <w:tcPr>
            <w:tcW w:w="628" w:type="dxa"/>
            <w:tcBorders>
              <w:top w:val="nil"/>
              <w:left w:val="nil"/>
              <w:bottom w:val="nil"/>
              <w:right w:val="nil"/>
            </w:tcBorders>
            <w:vAlign w:val="center"/>
          </w:tcPr>
          <w:p w14:paraId="7CE05E30"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468A6461"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4639AA57" w14:textId="6908F806" w:rsidR="00D067DF" w:rsidRPr="00011786" w:rsidRDefault="00FD7DA6" w:rsidP="00011786">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52DD5793"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10758A42" w14:textId="616758B6"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2D48A1ED" w14:textId="05CE353F"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678BE2A" w14:textId="77777777" w:rsidR="00D067DF" w:rsidRPr="00011786" w:rsidRDefault="00D067DF" w:rsidP="00011786">
            <w:pPr>
              <w:spacing w:after="0"/>
              <w:rPr>
                <w:rFonts w:eastAsia="Times New Roman"/>
                <w:sz w:val="22"/>
                <w:szCs w:val="22"/>
              </w:rPr>
            </w:pPr>
            <w:r w:rsidRPr="00011786">
              <w:rPr>
                <w:color w:val="000000"/>
                <w:sz w:val="22"/>
                <w:szCs w:val="22"/>
              </w:rPr>
              <w:t>Walton</w:t>
            </w:r>
          </w:p>
        </w:tc>
        <w:tc>
          <w:tcPr>
            <w:tcW w:w="744" w:type="dxa"/>
            <w:tcBorders>
              <w:top w:val="nil"/>
              <w:left w:val="nil"/>
              <w:bottom w:val="nil"/>
              <w:right w:val="nil"/>
            </w:tcBorders>
            <w:vAlign w:val="center"/>
          </w:tcPr>
          <w:p w14:paraId="71242C85" w14:textId="77777777" w:rsidR="00D067DF" w:rsidRPr="00011786" w:rsidRDefault="00D067DF" w:rsidP="00011786">
            <w:pPr>
              <w:spacing w:after="0"/>
              <w:jc w:val="right"/>
              <w:rPr>
                <w:color w:val="000000"/>
                <w:sz w:val="22"/>
                <w:szCs w:val="22"/>
              </w:rPr>
            </w:pPr>
            <w:r w:rsidRPr="00011786">
              <w:rPr>
                <w:color w:val="000000"/>
                <w:sz w:val="22"/>
                <w:szCs w:val="22"/>
              </w:rPr>
              <w:t>1</w:t>
            </w:r>
          </w:p>
        </w:tc>
        <w:tc>
          <w:tcPr>
            <w:tcW w:w="240" w:type="dxa"/>
            <w:tcBorders>
              <w:top w:val="nil"/>
              <w:left w:val="nil"/>
              <w:bottom w:val="nil"/>
              <w:right w:val="nil"/>
            </w:tcBorders>
            <w:vAlign w:val="center"/>
          </w:tcPr>
          <w:p w14:paraId="13CCCD4D"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5B28F2FD" w14:textId="17994CC8" w:rsidR="00D067DF" w:rsidRPr="00011786" w:rsidRDefault="00D067DF" w:rsidP="00011786">
            <w:pPr>
              <w:spacing w:after="0"/>
              <w:jc w:val="right"/>
              <w:rPr>
                <w:rFonts w:eastAsia="Times New Roman"/>
                <w:sz w:val="22"/>
                <w:szCs w:val="22"/>
              </w:rPr>
            </w:pPr>
            <w:r w:rsidRPr="00011786">
              <w:rPr>
                <w:color w:val="000000"/>
                <w:sz w:val="22"/>
                <w:szCs w:val="22"/>
              </w:rPr>
              <w:t>1.77</w:t>
            </w:r>
          </w:p>
        </w:tc>
        <w:tc>
          <w:tcPr>
            <w:tcW w:w="248" w:type="dxa"/>
            <w:tcBorders>
              <w:top w:val="nil"/>
              <w:left w:val="nil"/>
              <w:bottom w:val="nil"/>
              <w:right w:val="nil"/>
            </w:tcBorders>
            <w:vAlign w:val="center"/>
          </w:tcPr>
          <w:p w14:paraId="41725199"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32ECB480" w14:textId="0E2AD5BD" w:rsidR="00D067DF" w:rsidRPr="00011786" w:rsidRDefault="00D067DF" w:rsidP="00011786">
            <w:pPr>
              <w:spacing w:after="0"/>
              <w:jc w:val="right"/>
              <w:rPr>
                <w:rFonts w:eastAsia="Times New Roman"/>
                <w:sz w:val="22"/>
                <w:szCs w:val="22"/>
              </w:rPr>
            </w:pPr>
            <w:r w:rsidRPr="00011786">
              <w:rPr>
                <w:color w:val="000000"/>
                <w:sz w:val="22"/>
                <w:szCs w:val="22"/>
              </w:rPr>
              <w:t>1.53</w:t>
            </w:r>
          </w:p>
        </w:tc>
        <w:tc>
          <w:tcPr>
            <w:tcW w:w="556" w:type="dxa"/>
            <w:tcBorders>
              <w:top w:val="nil"/>
              <w:left w:val="nil"/>
              <w:bottom w:val="nil"/>
              <w:right w:val="nil"/>
            </w:tcBorders>
            <w:vAlign w:val="center"/>
          </w:tcPr>
          <w:p w14:paraId="3DD56ED0" w14:textId="77777777" w:rsidR="00D067DF" w:rsidRPr="00011786" w:rsidRDefault="00D067DF" w:rsidP="00011786">
            <w:pPr>
              <w:spacing w:after="0"/>
              <w:jc w:val="right"/>
              <w:rPr>
                <w:rFonts w:eastAsia="Times New Roman"/>
                <w:sz w:val="22"/>
                <w:szCs w:val="22"/>
              </w:rPr>
            </w:pPr>
          </w:p>
        </w:tc>
      </w:tr>
      <w:tr w:rsidR="00011786" w:rsidRPr="004E2B94" w14:paraId="126D8A73" w14:textId="77777777" w:rsidTr="00321E99">
        <w:trPr>
          <w:trHeight w:val="288"/>
        </w:trPr>
        <w:tc>
          <w:tcPr>
            <w:tcW w:w="1439" w:type="dxa"/>
            <w:tcBorders>
              <w:top w:val="nil"/>
              <w:left w:val="nil"/>
              <w:bottom w:val="nil"/>
              <w:right w:val="nil"/>
            </w:tcBorders>
            <w:vAlign w:val="center"/>
          </w:tcPr>
          <w:p w14:paraId="325F7E93" w14:textId="77777777" w:rsidR="00D067DF" w:rsidRPr="00011786" w:rsidRDefault="00D067DF" w:rsidP="00011786">
            <w:pPr>
              <w:spacing w:after="0"/>
              <w:rPr>
                <w:i/>
                <w:sz w:val="22"/>
                <w:szCs w:val="22"/>
              </w:rPr>
            </w:pPr>
            <w:r w:rsidRPr="00011786">
              <w:rPr>
                <w:color w:val="000000"/>
                <w:sz w:val="22"/>
                <w:szCs w:val="22"/>
              </w:rPr>
              <w:t>Lafayette</w:t>
            </w:r>
          </w:p>
        </w:tc>
        <w:tc>
          <w:tcPr>
            <w:tcW w:w="628" w:type="dxa"/>
            <w:tcBorders>
              <w:top w:val="nil"/>
              <w:left w:val="nil"/>
              <w:bottom w:val="nil"/>
              <w:right w:val="nil"/>
            </w:tcBorders>
            <w:vAlign w:val="center"/>
          </w:tcPr>
          <w:p w14:paraId="1487A7FE"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334485E7"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66D1C575" w14:textId="7C6A2581" w:rsidR="00D067DF" w:rsidRPr="00011786" w:rsidRDefault="00FD7DA6" w:rsidP="00011786">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29689D44"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2D65FBDE" w14:textId="54C32BA0"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189111D7" w14:textId="206A4F15"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0663402" w14:textId="77777777" w:rsidR="00D067DF" w:rsidRPr="00011786" w:rsidRDefault="00D067DF" w:rsidP="00011786">
            <w:pPr>
              <w:spacing w:after="0"/>
              <w:rPr>
                <w:rFonts w:eastAsia="Times New Roman"/>
                <w:sz w:val="22"/>
                <w:szCs w:val="22"/>
              </w:rPr>
            </w:pPr>
            <w:r w:rsidRPr="00011786">
              <w:rPr>
                <w:color w:val="000000"/>
                <w:sz w:val="22"/>
                <w:szCs w:val="22"/>
              </w:rPr>
              <w:t>Washington</w:t>
            </w:r>
          </w:p>
        </w:tc>
        <w:tc>
          <w:tcPr>
            <w:tcW w:w="744" w:type="dxa"/>
            <w:tcBorders>
              <w:top w:val="nil"/>
              <w:left w:val="nil"/>
              <w:bottom w:val="nil"/>
              <w:right w:val="nil"/>
            </w:tcBorders>
            <w:vAlign w:val="center"/>
          </w:tcPr>
          <w:p w14:paraId="3BE5EE78"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40" w:type="dxa"/>
            <w:tcBorders>
              <w:top w:val="nil"/>
              <w:left w:val="nil"/>
              <w:bottom w:val="nil"/>
              <w:right w:val="nil"/>
            </w:tcBorders>
            <w:vAlign w:val="center"/>
          </w:tcPr>
          <w:p w14:paraId="7EFA3ED7"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46DA7EFE" w14:textId="50AED09E" w:rsidR="00D067DF" w:rsidRPr="00011786" w:rsidRDefault="00FD7DA6" w:rsidP="00011786">
            <w:pPr>
              <w:spacing w:after="0"/>
              <w:jc w:val="right"/>
              <w:rPr>
                <w:rFonts w:eastAsia="Times New Roman"/>
                <w:sz w:val="22"/>
                <w:szCs w:val="22"/>
              </w:rPr>
            </w:pPr>
            <w:r w:rsidRPr="00011786">
              <w:rPr>
                <w:color w:val="000000"/>
                <w:sz w:val="22"/>
                <w:szCs w:val="22"/>
              </w:rPr>
              <w:t>0.00</w:t>
            </w:r>
          </w:p>
        </w:tc>
        <w:tc>
          <w:tcPr>
            <w:tcW w:w="248" w:type="dxa"/>
            <w:tcBorders>
              <w:top w:val="nil"/>
              <w:left w:val="nil"/>
              <w:bottom w:val="nil"/>
              <w:right w:val="nil"/>
            </w:tcBorders>
            <w:vAlign w:val="center"/>
          </w:tcPr>
          <w:p w14:paraId="005C4854"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6149C8B9" w14:textId="1C56736D"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556" w:type="dxa"/>
            <w:tcBorders>
              <w:top w:val="nil"/>
              <w:left w:val="nil"/>
              <w:bottom w:val="nil"/>
              <w:right w:val="nil"/>
            </w:tcBorders>
            <w:vAlign w:val="center"/>
          </w:tcPr>
          <w:p w14:paraId="66A63C8B" w14:textId="77777777" w:rsidR="00D067DF" w:rsidRPr="00011786" w:rsidRDefault="00D067DF" w:rsidP="00011786">
            <w:pPr>
              <w:spacing w:after="0"/>
              <w:jc w:val="right"/>
              <w:rPr>
                <w:rFonts w:eastAsia="Times New Roman"/>
                <w:sz w:val="22"/>
                <w:szCs w:val="22"/>
              </w:rPr>
            </w:pPr>
          </w:p>
        </w:tc>
      </w:tr>
      <w:tr w:rsidR="00F949D4" w:rsidRPr="004E2B94" w14:paraId="439D8EFE" w14:textId="77777777" w:rsidTr="00321E99">
        <w:trPr>
          <w:trHeight w:val="288"/>
        </w:trPr>
        <w:tc>
          <w:tcPr>
            <w:tcW w:w="1439" w:type="dxa"/>
            <w:tcBorders>
              <w:top w:val="nil"/>
              <w:left w:val="nil"/>
              <w:bottom w:val="single" w:sz="4" w:space="0" w:color="auto"/>
              <w:right w:val="nil"/>
            </w:tcBorders>
            <w:vAlign w:val="center"/>
          </w:tcPr>
          <w:p w14:paraId="0F650B1D" w14:textId="77777777" w:rsidR="00F949D4" w:rsidRPr="00011786" w:rsidRDefault="00F949D4" w:rsidP="00F949D4">
            <w:pPr>
              <w:spacing w:after="0"/>
              <w:rPr>
                <w:sz w:val="22"/>
                <w:szCs w:val="22"/>
              </w:rPr>
            </w:pPr>
            <w:r w:rsidRPr="00011786">
              <w:rPr>
                <w:color w:val="000000"/>
                <w:sz w:val="22"/>
                <w:szCs w:val="22"/>
              </w:rPr>
              <w:t>Lake</w:t>
            </w:r>
          </w:p>
        </w:tc>
        <w:tc>
          <w:tcPr>
            <w:tcW w:w="628" w:type="dxa"/>
            <w:tcBorders>
              <w:top w:val="nil"/>
              <w:left w:val="nil"/>
              <w:bottom w:val="single" w:sz="4" w:space="0" w:color="auto"/>
              <w:right w:val="nil"/>
            </w:tcBorders>
            <w:vAlign w:val="center"/>
          </w:tcPr>
          <w:p w14:paraId="326806E4" w14:textId="0DFEBB84" w:rsidR="00F949D4" w:rsidRPr="00011786" w:rsidRDefault="00F949D4" w:rsidP="00F949D4">
            <w:pPr>
              <w:spacing w:after="0"/>
              <w:jc w:val="right"/>
              <w:rPr>
                <w:color w:val="000000"/>
                <w:sz w:val="22"/>
                <w:szCs w:val="22"/>
              </w:rPr>
            </w:pPr>
            <w:r w:rsidRPr="00E15B47">
              <w:rPr>
                <w:color w:val="000000"/>
                <w:sz w:val="22"/>
                <w:szCs w:val="22"/>
              </w:rPr>
              <w:t>–</w:t>
            </w:r>
          </w:p>
        </w:tc>
        <w:tc>
          <w:tcPr>
            <w:tcW w:w="236" w:type="dxa"/>
            <w:tcBorders>
              <w:top w:val="nil"/>
              <w:left w:val="nil"/>
              <w:bottom w:val="single" w:sz="4" w:space="0" w:color="auto"/>
              <w:right w:val="nil"/>
            </w:tcBorders>
            <w:vAlign w:val="center"/>
          </w:tcPr>
          <w:p w14:paraId="5BDD2AE0" w14:textId="77777777" w:rsidR="00F949D4" w:rsidRPr="00011786" w:rsidRDefault="00F949D4" w:rsidP="00F949D4">
            <w:pPr>
              <w:spacing w:after="0"/>
              <w:jc w:val="right"/>
              <w:rPr>
                <w:color w:val="000000"/>
                <w:sz w:val="22"/>
                <w:szCs w:val="22"/>
              </w:rPr>
            </w:pPr>
          </w:p>
        </w:tc>
        <w:tc>
          <w:tcPr>
            <w:tcW w:w="767" w:type="dxa"/>
            <w:tcBorders>
              <w:top w:val="nil"/>
              <w:left w:val="nil"/>
              <w:bottom w:val="single" w:sz="4" w:space="0" w:color="auto"/>
              <w:right w:val="nil"/>
            </w:tcBorders>
            <w:vAlign w:val="center"/>
          </w:tcPr>
          <w:p w14:paraId="4EC2A93E" w14:textId="5A588E57"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323" w:type="dxa"/>
            <w:tcBorders>
              <w:top w:val="nil"/>
              <w:left w:val="nil"/>
              <w:bottom w:val="single" w:sz="4" w:space="0" w:color="auto"/>
              <w:right w:val="nil"/>
            </w:tcBorders>
            <w:vAlign w:val="center"/>
          </w:tcPr>
          <w:p w14:paraId="54497237"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single" w:sz="4" w:space="0" w:color="auto"/>
              <w:right w:val="nil"/>
            </w:tcBorders>
            <w:vAlign w:val="center"/>
          </w:tcPr>
          <w:p w14:paraId="20AF917B" w14:textId="0D166D3E" w:rsidR="00F949D4" w:rsidRPr="00011786" w:rsidRDefault="00F949D4" w:rsidP="00F949D4">
            <w:pPr>
              <w:spacing w:after="0"/>
              <w:jc w:val="right"/>
              <w:rPr>
                <w:rFonts w:eastAsia="Times New Roman"/>
                <w:sz w:val="22"/>
                <w:szCs w:val="22"/>
              </w:rPr>
            </w:pPr>
            <w:r w:rsidRPr="00E15B47">
              <w:rPr>
                <w:color w:val="000000"/>
                <w:sz w:val="22"/>
                <w:szCs w:val="22"/>
              </w:rPr>
              <w:t>–</w:t>
            </w:r>
            <w:r>
              <w:rPr>
                <w:color w:val="000000"/>
                <w:sz w:val="22"/>
                <w:szCs w:val="22"/>
              </w:rPr>
              <w:t>  </w:t>
            </w:r>
          </w:p>
        </w:tc>
        <w:tc>
          <w:tcPr>
            <w:tcW w:w="625" w:type="dxa"/>
            <w:tcBorders>
              <w:top w:val="nil"/>
              <w:left w:val="nil"/>
              <w:bottom w:val="single" w:sz="4" w:space="0" w:color="auto"/>
              <w:right w:val="single" w:sz="4" w:space="0" w:color="auto"/>
            </w:tcBorders>
            <w:vAlign w:val="center"/>
          </w:tcPr>
          <w:p w14:paraId="1CE38F82" w14:textId="5101FCBB"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single" w:sz="4" w:space="0" w:color="auto"/>
              <w:right w:val="nil"/>
            </w:tcBorders>
            <w:vAlign w:val="center"/>
          </w:tcPr>
          <w:p w14:paraId="61053BDA" w14:textId="77777777" w:rsidR="00F949D4" w:rsidRPr="00011786" w:rsidRDefault="00F949D4" w:rsidP="00F949D4">
            <w:pPr>
              <w:spacing w:after="0"/>
              <w:rPr>
                <w:rFonts w:eastAsia="Times New Roman"/>
                <w:sz w:val="22"/>
                <w:szCs w:val="22"/>
              </w:rPr>
            </w:pPr>
          </w:p>
        </w:tc>
        <w:tc>
          <w:tcPr>
            <w:tcW w:w="744" w:type="dxa"/>
            <w:tcBorders>
              <w:top w:val="nil"/>
              <w:left w:val="nil"/>
              <w:bottom w:val="single" w:sz="4" w:space="0" w:color="auto"/>
              <w:right w:val="nil"/>
            </w:tcBorders>
            <w:vAlign w:val="center"/>
          </w:tcPr>
          <w:p w14:paraId="20D5FAEE" w14:textId="77777777" w:rsidR="00F949D4" w:rsidRPr="00011786" w:rsidRDefault="00F949D4" w:rsidP="00F949D4">
            <w:pPr>
              <w:spacing w:after="0"/>
              <w:jc w:val="right"/>
              <w:rPr>
                <w:rFonts w:eastAsia="Times New Roman"/>
                <w:sz w:val="22"/>
                <w:szCs w:val="22"/>
              </w:rPr>
            </w:pPr>
          </w:p>
        </w:tc>
        <w:tc>
          <w:tcPr>
            <w:tcW w:w="240" w:type="dxa"/>
            <w:tcBorders>
              <w:top w:val="nil"/>
              <w:left w:val="nil"/>
              <w:bottom w:val="single" w:sz="4" w:space="0" w:color="auto"/>
              <w:right w:val="nil"/>
            </w:tcBorders>
            <w:vAlign w:val="center"/>
          </w:tcPr>
          <w:p w14:paraId="4C08430B" w14:textId="77777777" w:rsidR="00F949D4" w:rsidRPr="00011786" w:rsidRDefault="00F949D4" w:rsidP="00F949D4">
            <w:pPr>
              <w:spacing w:after="0"/>
              <w:jc w:val="right"/>
              <w:rPr>
                <w:rFonts w:eastAsia="Times New Roman"/>
                <w:sz w:val="22"/>
                <w:szCs w:val="22"/>
              </w:rPr>
            </w:pPr>
          </w:p>
        </w:tc>
        <w:tc>
          <w:tcPr>
            <w:tcW w:w="767" w:type="dxa"/>
            <w:tcBorders>
              <w:top w:val="nil"/>
              <w:left w:val="nil"/>
              <w:bottom w:val="single" w:sz="4" w:space="0" w:color="auto"/>
              <w:right w:val="nil"/>
            </w:tcBorders>
            <w:vAlign w:val="center"/>
          </w:tcPr>
          <w:p w14:paraId="3E6198DE" w14:textId="77777777" w:rsidR="00F949D4" w:rsidRPr="00011786" w:rsidRDefault="00F949D4" w:rsidP="00F949D4">
            <w:pPr>
              <w:spacing w:after="0"/>
              <w:jc w:val="right"/>
              <w:rPr>
                <w:rFonts w:eastAsia="Times New Roman"/>
                <w:sz w:val="22"/>
                <w:szCs w:val="22"/>
              </w:rPr>
            </w:pPr>
          </w:p>
        </w:tc>
        <w:tc>
          <w:tcPr>
            <w:tcW w:w="248" w:type="dxa"/>
            <w:tcBorders>
              <w:top w:val="nil"/>
              <w:left w:val="nil"/>
              <w:bottom w:val="single" w:sz="4" w:space="0" w:color="auto"/>
              <w:right w:val="nil"/>
            </w:tcBorders>
            <w:vAlign w:val="center"/>
          </w:tcPr>
          <w:p w14:paraId="1CCBC09C"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single" w:sz="4" w:space="0" w:color="auto"/>
              <w:right w:val="nil"/>
            </w:tcBorders>
            <w:vAlign w:val="center"/>
          </w:tcPr>
          <w:p w14:paraId="7400DAE1" w14:textId="1332BEBB" w:rsidR="00F949D4" w:rsidRPr="00011786" w:rsidRDefault="00F949D4" w:rsidP="00F949D4">
            <w:pPr>
              <w:spacing w:after="0"/>
              <w:jc w:val="right"/>
              <w:rPr>
                <w:rFonts w:eastAsia="Times New Roman"/>
                <w:sz w:val="22"/>
                <w:szCs w:val="22"/>
              </w:rPr>
            </w:pPr>
          </w:p>
        </w:tc>
        <w:tc>
          <w:tcPr>
            <w:tcW w:w="556" w:type="dxa"/>
            <w:tcBorders>
              <w:top w:val="nil"/>
              <w:left w:val="nil"/>
              <w:bottom w:val="single" w:sz="4" w:space="0" w:color="auto"/>
              <w:right w:val="nil"/>
            </w:tcBorders>
            <w:vAlign w:val="center"/>
          </w:tcPr>
          <w:p w14:paraId="5FD9DA6E" w14:textId="77777777" w:rsidR="00F949D4" w:rsidRPr="00011786" w:rsidRDefault="00F949D4" w:rsidP="00F949D4">
            <w:pPr>
              <w:spacing w:after="0"/>
              <w:jc w:val="right"/>
              <w:rPr>
                <w:rFonts w:eastAsia="Times New Roman"/>
                <w:sz w:val="22"/>
                <w:szCs w:val="22"/>
              </w:rPr>
            </w:pPr>
          </w:p>
        </w:tc>
      </w:tr>
      <w:tr w:rsidR="002E0595" w:rsidRPr="00D47DDD" w14:paraId="67213B55" w14:textId="77777777" w:rsidTr="003A187A">
        <w:trPr>
          <w:trHeight w:val="288"/>
        </w:trPr>
        <w:tc>
          <w:tcPr>
            <w:tcW w:w="10080" w:type="dxa"/>
            <w:gridSpan w:val="14"/>
            <w:tcBorders>
              <w:top w:val="single" w:sz="4" w:space="0" w:color="auto"/>
              <w:bottom w:val="nil"/>
            </w:tcBorders>
          </w:tcPr>
          <w:p w14:paraId="0E8388BC" w14:textId="119D5359" w:rsidR="002E0595" w:rsidRPr="00930EF5" w:rsidRDefault="00F949D4" w:rsidP="002E0595">
            <w:pPr>
              <w:spacing w:after="0"/>
              <w:rPr>
                <w:rFonts w:eastAsia="Times New Roman"/>
                <w:i/>
                <w:sz w:val="18"/>
                <w:szCs w:val="22"/>
              </w:rPr>
            </w:pPr>
            <w:r>
              <w:rPr>
                <w:i/>
                <w:color w:val="000000"/>
                <w:sz w:val="18"/>
                <w:szCs w:val="22"/>
              </w:rPr>
              <w:t>‘–‘</w:t>
            </w:r>
            <w:r w:rsidR="002E0595" w:rsidRPr="00930EF5">
              <w:rPr>
                <w:i/>
                <w:color w:val="000000"/>
                <w:sz w:val="18"/>
                <w:szCs w:val="22"/>
              </w:rPr>
              <w:t xml:space="preserve"> </w:t>
            </w:r>
            <w:r>
              <w:rPr>
                <w:i/>
                <w:color w:val="000000"/>
                <w:sz w:val="18"/>
                <w:szCs w:val="22"/>
              </w:rPr>
              <w:t xml:space="preserve">signifies </w:t>
            </w:r>
            <w:r w:rsidR="002E0595" w:rsidRPr="00930EF5">
              <w:rPr>
                <w:i/>
                <w:color w:val="000000"/>
                <w:sz w:val="18"/>
                <w:szCs w:val="22"/>
              </w:rPr>
              <w:t>no data reported by county</w:t>
            </w:r>
          </w:p>
        </w:tc>
      </w:tr>
    </w:tbl>
    <w:p w14:paraId="64FF9706" w14:textId="77777777" w:rsidR="003323F7" w:rsidRDefault="003323F7" w:rsidP="008B315F">
      <w:pPr>
        <w:spacing w:after="0"/>
        <w:rPr>
          <w:b/>
        </w:rPr>
      </w:pPr>
    </w:p>
    <w:p w14:paraId="376FFCD6" w14:textId="2531DD6D" w:rsidR="008B315F" w:rsidRDefault="008B315F" w:rsidP="0090442E">
      <w:pPr>
        <w:rPr>
          <w:b/>
        </w:rPr>
      </w:pPr>
    </w:p>
    <w:p w14:paraId="05087777" w14:textId="66DF0326" w:rsidR="00B05A69" w:rsidRDefault="00B05A69" w:rsidP="0090442E">
      <w:pPr>
        <w:rPr>
          <w:b/>
        </w:rPr>
      </w:pPr>
    </w:p>
    <w:p w14:paraId="1488C26B" w14:textId="77777777" w:rsidR="00B05A69" w:rsidRDefault="00B05A69" w:rsidP="0090442E">
      <w:pPr>
        <w:rPr>
          <w:b/>
        </w:rPr>
      </w:pPr>
    </w:p>
    <w:p w14:paraId="1C44799C" w14:textId="77777777" w:rsidR="00751496" w:rsidRDefault="00751496" w:rsidP="0090442E">
      <w:pPr>
        <w:rPr>
          <w:b/>
        </w:rPr>
      </w:pPr>
    </w:p>
    <w:p w14:paraId="4A046B7C" w14:textId="36BECA7B" w:rsidR="0090442E" w:rsidRPr="00065C84" w:rsidRDefault="0090442E" w:rsidP="0090442E">
      <w:pPr>
        <w:rPr>
          <w:b/>
        </w:rPr>
      </w:pPr>
      <w:r w:rsidRPr="00065C84">
        <w:rPr>
          <w:b/>
        </w:rPr>
        <w:lastRenderedPageBreak/>
        <w:t xml:space="preserve">Figure </w:t>
      </w:r>
      <w:r>
        <w:rPr>
          <w:b/>
        </w:rPr>
        <w:t>2</w:t>
      </w:r>
      <w:r w:rsidRPr="00065C84">
        <w:rPr>
          <w:b/>
        </w:rPr>
        <w:t xml:space="preserve">: </w:t>
      </w:r>
      <w:r w:rsidR="002D1F4E">
        <w:rPr>
          <w:b/>
        </w:rPr>
        <w:t xml:space="preserve">Age-Adjusted </w:t>
      </w:r>
      <w:r>
        <w:rPr>
          <w:b/>
        </w:rPr>
        <w:t>Fatal Opioid Overdose Rates per 100,000</w:t>
      </w:r>
      <w:r w:rsidR="000162E9">
        <w:rPr>
          <w:b/>
        </w:rPr>
        <w:t xml:space="preserve"> People </w:t>
      </w:r>
      <w:r w:rsidR="00931337">
        <w:rPr>
          <w:b/>
        </w:rPr>
        <w:t>Ages 1</w:t>
      </w:r>
      <w:r w:rsidR="00AC3E84">
        <w:rPr>
          <w:b/>
        </w:rPr>
        <w:t>0</w:t>
      </w:r>
      <w:r w:rsidR="003A187A">
        <w:rPr>
          <w:b/>
        </w:rPr>
        <w:t>+</w:t>
      </w:r>
      <w:r>
        <w:rPr>
          <w:b/>
        </w:rPr>
        <w:t xml:space="preserve"> by County</w:t>
      </w:r>
    </w:p>
    <w:p w14:paraId="269C50D0" w14:textId="77777777" w:rsidR="0090442E" w:rsidRDefault="0090442E" w:rsidP="0090442E">
      <w:pPr>
        <w:tabs>
          <w:tab w:val="left" w:pos="720"/>
        </w:tabs>
      </w:pPr>
      <w:r>
        <w:rPr>
          <w:noProof/>
        </w:rPr>
        <w:drawing>
          <wp:inline distT="0" distB="0" distL="0" distR="0" wp14:anchorId="55D4F58E" wp14:editId="75EE28A1">
            <wp:extent cx="5581934" cy="4762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 Adjusted Fatal Opioid Overdoses by County Q1-2 2018 Map v2 Fin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24524" cy="4799305"/>
                    </a:xfrm>
                    <a:prstGeom prst="rect">
                      <a:avLst/>
                    </a:prstGeom>
                  </pic:spPr>
                </pic:pic>
              </a:graphicData>
            </a:graphic>
          </wp:inline>
        </w:drawing>
      </w:r>
    </w:p>
    <w:p w14:paraId="34CEEF80" w14:textId="77777777" w:rsidR="00C36800" w:rsidRDefault="00C36800" w:rsidP="008B315F">
      <w:pPr>
        <w:spacing w:after="0"/>
        <w:rPr>
          <w:b/>
        </w:rPr>
      </w:pPr>
    </w:p>
    <w:p w14:paraId="628DD1FB" w14:textId="5893EDE9" w:rsidR="00930EF5" w:rsidRPr="00065C84" w:rsidRDefault="00930EF5" w:rsidP="008B315F">
      <w:pPr>
        <w:spacing w:after="0"/>
        <w:rPr>
          <w:b/>
        </w:rPr>
      </w:pPr>
      <w:r w:rsidRPr="00065C84">
        <w:rPr>
          <w:b/>
        </w:rPr>
        <w:t xml:space="preserve">Figure </w:t>
      </w:r>
      <w:r>
        <w:rPr>
          <w:b/>
        </w:rPr>
        <w:t>3</w:t>
      </w:r>
      <w:r w:rsidRPr="00065C84">
        <w:rPr>
          <w:b/>
        </w:rPr>
        <w:t xml:space="preserve">: </w:t>
      </w:r>
      <w:r>
        <w:rPr>
          <w:b/>
        </w:rPr>
        <w:t>Fatal Opioid Overdose Rate by Age</w:t>
      </w:r>
      <w:r w:rsidR="005B5386">
        <w:rPr>
          <w:b/>
        </w:rPr>
        <w:t xml:space="preserve"> in Years</w:t>
      </w:r>
      <w:r>
        <w:rPr>
          <w:b/>
        </w:rPr>
        <w:t>;</w:t>
      </w:r>
      <w:r w:rsidR="00E0704C">
        <w:rPr>
          <w:b/>
        </w:rPr>
        <w:t xml:space="preserve"> People </w:t>
      </w:r>
      <w:r w:rsidR="00751496">
        <w:rPr>
          <w:b/>
        </w:rPr>
        <w:t xml:space="preserve">Ages </w:t>
      </w:r>
      <w:r w:rsidR="00E0704C">
        <w:rPr>
          <w:b/>
        </w:rPr>
        <w:t>10</w:t>
      </w:r>
      <w:r w:rsidR="00751496">
        <w:rPr>
          <w:b/>
        </w:rPr>
        <w:t>+</w:t>
      </w:r>
      <w:r w:rsidR="00E0704C">
        <w:rPr>
          <w:b/>
        </w:rPr>
        <w:t>;</w:t>
      </w:r>
      <w:r>
        <w:rPr>
          <w:b/>
        </w:rPr>
        <w:t xml:space="preserve"> Florida’s Reporting Counties; January–June 2018</w:t>
      </w:r>
    </w:p>
    <w:p w14:paraId="0A8E34EA" w14:textId="3A6F95C8" w:rsidR="00904104" w:rsidRDefault="00904104" w:rsidP="00774445">
      <w:pPr>
        <w:tabs>
          <w:tab w:val="left" w:pos="720"/>
        </w:tabs>
      </w:pPr>
      <w:r w:rsidRPr="00930EF5">
        <w:rPr>
          <w:noProof/>
          <w:color w:val="00A0AF"/>
        </w:rPr>
        <w:drawing>
          <wp:inline distT="0" distB="0" distL="0" distR="0" wp14:anchorId="65D1FC43" wp14:editId="299B8F31">
            <wp:extent cx="6209665" cy="2729552"/>
            <wp:effectExtent l="0" t="0" r="6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7DDF73" w14:textId="68A5DE15" w:rsidR="0065478A" w:rsidRPr="00065C84" w:rsidRDefault="0065478A" w:rsidP="008B315F">
      <w:pPr>
        <w:spacing w:after="0"/>
        <w:rPr>
          <w:b/>
        </w:rPr>
      </w:pPr>
      <w:r w:rsidRPr="00065C84">
        <w:rPr>
          <w:b/>
        </w:rPr>
        <w:lastRenderedPageBreak/>
        <w:t xml:space="preserve">Figure </w:t>
      </w:r>
      <w:r>
        <w:rPr>
          <w:b/>
        </w:rPr>
        <w:t>4</w:t>
      </w:r>
      <w:r w:rsidRPr="00065C84">
        <w:rPr>
          <w:b/>
        </w:rPr>
        <w:t xml:space="preserve">: </w:t>
      </w:r>
      <w:r>
        <w:rPr>
          <w:b/>
        </w:rPr>
        <w:t>Fatal Opioid Overdose Rate by Sex;</w:t>
      </w:r>
      <w:r w:rsidR="00E0704C">
        <w:rPr>
          <w:b/>
        </w:rPr>
        <w:t xml:space="preserve"> </w:t>
      </w:r>
      <w:r w:rsidR="00751496">
        <w:rPr>
          <w:b/>
        </w:rPr>
        <w:t>People Ages 10+</w:t>
      </w:r>
      <w:r w:rsidR="00E0704C">
        <w:rPr>
          <w:b/>
        </w:rPr>
        <w:t>;</w:t>
      </w:r>
      <w:r>
        <w:rPr>
          <w:b/>
        </w:rPr>
        <w:t xml:space="preserve"> Florida’s Reporting Counties; January–June 2018</w:t>
      </w:r>
    </w:p>
    <w:p w14:paraId="3B4025B8" w14:textId="7C59C2F4" w:rsidR="00FB58E2" w:rsidRDefault="00E073DE" w:rsidP="00A33DD2">
      <w:r>
        <w:rPr>
          <w:noProof/>
        </w:rPr>
        <w:drawing>
          <wp:inline distT="0" distB="0" distL="0" distR="0" wp14:anchorId="7B00DE03" wp14:editId="504B72B5">
            <wp:extent cx="5486400" cy="272955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990753" w14:textId="77777777" w:rsidR="00FB58E2" w:rsidRDefault="00FB58E2" w:rsidP="00A33DD2"/>
    <w:p w14:paraId="1FCDAABC" w14:textId="527542FE" w:rsidR="0065478A" w:rsidRPr="00065C84" w:rsidRDefault="0065478A" w:rsidP="008B315F">
      <w:pPr>
        <w:spacing w:after="0"/>
        <w:rPr>
          <w:b/>
        </w:rPr>
      </w:pPr>
      <w:r w:rsidRPr="00065C84">
        <w:rPr>
          <w:b/>
        </w:rPr>
        <w:t xml:space="preserve">Figure </w:t>
      </w:r>
      <w:r>
        <w:rPr>
          <w:b/>
        </w:rPr>
        <w:t>5</w:t>
      </w:r>
      <w:r w:rsidRPr="00065C84">
        <w:rPr>
          <w:b/>
        </w:rPr>
        <w:t xml:space="preserve">: </w:t>
      </w:r>
      <w:r>
        <w:rPr>
          <w:b/>
        </w:rPr>
        <w:t>Fatal Opioid Overdose Rate by Education; Adults 25</w:t>
      </w:r>
      <w:r w:rsidR="00751496">
        <w:rPr>
          <w:b/>
        </w:rPr>
        <w:t>+;</w:t>
      </w:r>
      <w:r>
        <w:rPr>
          <w:b/>
        </w:rPr>
        <w:t xml:space="preserve"> Florida’s Reporting Counties; January–June 2018</w:t>
      </w:r>
    </w:p>
    <w:p w14:paraId="61A9D0B3" w14:textId="3C79C412" w:rsidR="0074519F" w:rsidRDefault="0074519F" w:rsidP="00A33DD2">
      <w:r>
        <w:rPr>
          <w:noProof/>
        </w:rPr>
        <w:drawing>
          <wp:inline distT="0" distB="0" distL="0" distR="0" wp14:anchorId="2663A82E" wp14:editId="33AF8935">
            <wp:extent cx="6313170" cy="272955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982A27" w14:textId="77777777" w:rsidR="00FB58E2" w:rsidRDefault="00FB58E2" w:rsidP="008B315F">
      <w:pPr>
        <w:spacing w:after="0"/>
        <w:rPr>
          <w:b/>
        </w:rPr>
      </w:pPr>
    </w:p>
    <w:p w14:paraId="0C37A87B" w14:textId="77777777" w:rsidR="00FB58E2" w:rsidRDefault="00FB58E2" w:rsidP="008B315F">
      <w:pPr>
        <w:spacing w:after="0"/>
        <w:rPr>
          <w:b/>
        </w:rPr>
      </w:pPr>
    </w:p>
    <w:p w14:paraId="1B5FD61D" w14:textId="77777777" w:rsidR="00FB58E2" w:rsidRDefault="00FB58E2" w:rsidP="008B315F">
      <w:pPr>
        <w:spacing w:after="0"/>
        <w:rPr>
          <w:b/>
        </w:rPr>
      </w:pPr>
    </w:p>
    <w:p w14:paraId="60F60A40" w14:textId="77777777" w:rsidR="00FB58E2" w:rsidRDefault="00FB58E2" w:rsidP="008B315F">
      <w:pPr>
        <w:spacing w:after="0"/>
        <w:rPr>
          <w:b/>
        </w:rPr>
      </w:pPr>
    </w:p>
    <w:p w14:paraId="08A91030" w14:textId="77777777" w:rsidR="00FB58E2" w:rsidRDefault="00FB58E2" w:rsidP="008B315F">
      <w:pPr>
        <w:spacing w:after="0"/>
        <w:rPr>
          <w:b/>
        </w:rPr>
      </w:pPr>
    </w:p>
    <w:p w14:paraId="73731F4E" w14:textId="77777777" w:rsidR="00FB58E2" w:rsidRDefault="00FB58E2" w:rsidP="008B315F">
      <w:pPr>
        <w:spacing w:after="0"/>
        <w:rPr>
          <w:b/>
        </w:rPr>
      </w:pPr>
    </w:p>
    <w:p w14:paraId="60B96FE0" w14:textId="77777777" w:rsidR="00FB58E2" w:rsidRDefault="00FB58E2" w:rsidP="008B315F">
      <w:pPr>
        <w:spacing w:after="0"/>
        <w:rPr>
          <w:b/>
        </w:rPr>
      </w:pPr>
    </w:p>
    <w:p w14:paraId="0CC30317" w14:textId="77777777" w:rsidR="00FB58E2" w:rsidRDefault="00FB58E2" w:rsidP="008B315F">
      <w:pPr>
        <w:spacing w:after="0"/>
        <w:rPr>
          <w:b/>
        </w:rPr>
      </w:pPr>
    </w:p>
    <w:p w14:paraId="10C869F6" w14:textId="77777777" w:rsidR="00FB58E2" w:rsidRDefault="00FB58E2" w:rsidP="008B315F">
      <w:pPr>
        <w:spacing w:after="0"/>
        <w:rPr>
          <w:b/>
        </w:rPr>
      </w:pPr>
    </w:p>
    <w:p w14:paraId="37A7ADDB" w14:textId="305A3C4F" w:rsidR="0065478A" w:rsidRPr="00065C84" w:rsidRDefault="0065478A" w:rsidP="008B315F">
      <w:pPr>
        <w:spacing w:after="0"/>
        <w:rPr>
          <w:b/>
        </w:rPr>
      </w:pPr>
      <w:r w:rsidRPr="00065C84">
        <w:rPr>
          <w:b/>
        </w:rPr>
        <w:lastRenderedPageBreak/>
        <w:t xml:space="preserve">Figure </w:t>
      </w:r>
      <w:r>
        <w:rPr>
          <w:b/>
        </w:rPr>
        <w:t>6</w:t>
      </w:r>
      <w:r w:rsidRPr="00065C84">
        <w:rPr>
          <w:b/>
        </w:rPr>
        <w:t xml:space="preserve">: </w:t>
      </w:r>
      <w:r>
        <w:rPr>
          <w:b/>
        </w:rPr>
        <w:t>Fatal Opioid Overdose Rate by Racial/Ethnic Groups;</w:t>
      </w:r>
      <w:r w:rsidR="004F3D34">
        <w:rPr>
          <w:b/>
        </w:rPr>
        <w:t xml:space="preserve"> All Ages;</w:t>
      </w:r>
      <w:r>
        <w:rPr>
          <w:b/>
        </w:rPr>
        <w:t xml:space="preserve"> Florida’s Reporting Counties; January–June 2018</w:t>
      </w:r>
    </w:p>
    <w:p w14:paraId="33AB1527" w14:textId="40433821" w:rsidR="00B030A8" w:rsidRDefault="00B030A8" w:rsidP="00A33DD2">
      <w:r>
        <w:rPr>
          <w:noProof/>
        </w:rPr>
        <w:drawing>
          <wp:inline distT="0" distB="0" distL="0" distR="0" wp14:anchorId="6DCD131E" wp14:editId="3A229D1A">
            <wp:extent cx="6169660" cy="2722728"/>
            <wp:effectExtent l="0" t="0" r="2540"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56D61D" w14:textId="71F58D13" w:rsidR="004D36A7" w:rsidRDefault="004D36A7" w:rsidP="00A33DD2"/>
    <w:p w14:paraId="3EC2BC04" w14:textId="3EDC7EC8" w:rsidR="0035133D" w:rsidRDefault="0035133D">
      <w:pPr>
        <w:shd w:val="clear" w:color="auto" w:fill="auto"/>
        <w:tabs>
          <w:tab w:val="clear" w:pos="720"/>
          <w:tab w:val="clear" w:pos="9360"/>
        </w:tabs>
        <w:spacing w:after="160" w:line="259" w:lineRule="auto"/>
      </w:pPr>
      <w:r>
        <w:br w:type="page"/>
      </w:r>
    </w:p>
    <w:p w14:paraId="77A4F8D0" w14:textId="28617B45" w:rsidR="00455738" w:rsidRPr="002268C8" w:rsidRDefault="00FC3C27" w:rsidP="0035133D">
      <w:pPr>
        <w:pStyle w:val="Heading1"/>
      </w:pPr>
      <w:bookmarkStart w:id="28" w:name="_Toc17788959"/>
      <w:r>
        <w:lastRenderedPageBreak/>
        <w:t>DISCUSSION</w:t>
      </w:r>
      <w:bookmarkEnd w:id="28"/>
    </w:p>
    <w:p w14:paraId="1514B7E3" w14:textId="415B507D" w:rsidR="00067E47" w:rsidRPr="00F315D4" w:rsidRDefault="004D21B9" w:rsidP="00F315D4">
      <w:pPr>
        <w:tabs>
          <w:tab w:val="left" w:pos="720"/>
        </w:tabs>
        <w:spacing w:after="220"/>
        <w:rPr>
          <w:sz w:val="22"/>
          <w:szCs w:val="22"/>
        </w:rPr>
      </w:pPr>
      <w:r w:rsidRPr="00F315D4">
        <w:rPr>
          <w:sz w:val="22"/>
          <w:szCs w:val="22"/>
        </w:rPr>
        <w:t xml:space="preserve">Though </w:t>
      </w:r>
      <w:r w:rsidR="00067E47" w:rsidRPr="00F315D4">
        <w:rPr>
          <w:sz w:val="22"/>
          <w:szCs w:val="22"/>
        </w:rPr>
        <w:t xml:space="preserve">not all </w:t>
      </w:r>
      <w:r w:rsidRPr="00F315D4">
        <w:rPr>
          <w:sz w:val="22"/>
          <w:szCs w:val="22"/>
        </w:rPr>
        <w:t xml:space="preserve">Florida’s population is included in this report, the demographic similarities </w:t>
      </w:r>
      <w:r w:rsidR="00067E47" w:rsidRPr="00F315D4">
        <w:rPr>
          <w:sz w:val="22"/>
          <w:szCs w:val="22"/>
        </w:rPr>
        <w:t xml:space="preserve">of the sample </w:t>
      </w:r>
      <w:r w:rsidRPr="00F315D4">
        <w:rPr>
          <w:sz w:val="22"/>
          <w:szCs w:val="22"/>
        </w:rPr>
        <w:t>suggest</w:t>
      </w:r>
      <w:r w:rsidR="00067E47" w:rsidRPr="00F315D4">
        <w:rPr>
          <w:sz w:val="22"/>
          <w:szCs w:val="22"/>
        </w:rPr>
        <w:t>ed</w:t>
      </w:r>
      <w:r w:rsidRPr="00F315D4">
        <w:rPr>
          <w:sz w:val="22"/>
          <w:szCs w:val="22"/>
        </w:rPr>
        <w:t xml:space="preserve"> it is likely the report’s results are generally representative of the state of Florida.</w:t>
      </w:r>
      <w:r w:rsidR="00067E47" w:rsidRPr="00F315D4">
        <w:rPr>
          <w:sz w:val="22"/>
          <w:szCs w:val="22"/>
        </w:rPr>
        <w:t xml:space="preserve"> The section below identifies the most salient points of the report and discusses areas of </w:t>
      </w:r>
      <w:proofErr w:type="gramStart"/>
      <w:r w:rsidR="00067E47" w:rsidRPr="00F315D4">
        <w:rPr>
          <w:sz w:val="22"/>
          <w:szCs w:val="22"/>
        </w:rPr>
        <w:t>particular opportunity</w:t>
      </w:r>
      <w:proofErr w:type="gramEnd"/>
      <w:r w:rsidR="00067E47" w:rsidRPr="00F315D4">
        <w:rPr>
          <w:sz w:val="22"/>
          <w:szCs w:val="22"/>
        </w:rPr>
        <w:t xml:space="preserve"> for the state. </w:t>
      </w:r>
    </w:p>
    <w:p w14:paraId="70A99199" w14:textId="64D7AED7" w:rsidR="008428EE" w:rsidRPr="00F315D4" w:rsidRDefault="004334D3" w:rsidP="00F315D4">
      <w:pPr>
        <w:tabs>
          <w:tab w:val="left" w:pos="720"/>
        </w:tabs>
        <w:spacing w:after="220"/>
        <w:rPr>
          <w:sz w:val="22"/>
          <w:szCs w:val="22"/>
        </w:rPr>
      </w:pPr>
      <w:r w:rsidRPr="00F315D4">
        <w:rPr>
          <w:sz w:val="22"/>
          <w:szCs w:val="22"/>
        </w:rPr>
        <w:t>Florida experienced 1,22</w:t>
      </w:r>
      <w:r w:rsidR="00CB642F" w:rsidRPr="00F315D4">
        <w:rPr>
          <w:sz w:val="22"/>
          <w:szCs w:val="22"/>
        </w:rPr>
        <w:t>4</w:t>
      </w:r>
      <w:r w:rsidRPr="00F315D4">
        <w:rPr>
          <w:sz w:val="22"/>
          <w:szCs w:val="22"/>
        </w:rPr>
        <w:t xml:space="preserve"> fatal opioid overdoses in the reporting counties between January and June of 2018. </w:t>
      </w:r>
      <w:r w:rsidR="00980A78" w:rsidRPr="00F315D4">
        <w:rPr>
          <w:sz w:val="22"/>
          <w:szCs w:val="22"/>
        </w:rPr>
        <w:t>Florida experience</w:t>
      </w:r>
      <w:r w:rsidR="00565CE1" w:rsidRPr="00F315D4">
        <w:rPr>
          <w:sz w:val="22"/>
          <w:szCs w:val="22"/>
        </w:rPr>
        <w:t>d</w:t>
      </w:r>
      <w:r w:rsidR="00980A78" w:rsidRPr="00F315D4">
        <w:rPr>
          <w:sz w:val="22"/>
          <w:szCs w:val="22"/>
        </w:rPr>
        <w:t xml:space="preserve"> 8.</w:t>
      </w:r>
      <w:r w:rsidR="00565CE1" w:rsidRPr="00F315D4">
        <w:rPr>
          <w:sz w:val="22"/>
          <w:szCs w:val="22"/>
        </w:rPr>
        <w:t>3 deaths per 100,000 individuals ages 10 and older during these months.</w:t>
      </w:r>
      <w:r w:rsidR="00A403E2" w:rsidRPr="00F315D4">
        <w:rPr>
          <w:sz w:val="22"/>
          <w:szCs w:val="22"/>
        </w:rPr>
        <w:t xml:space="preserve"> If a similar rate of fatal opioid overdoses happened in the second half of 2018, the 1</w:t>
      </w:r>
      <w:r w:rsidR="00B15988" w:rsidRPr="00F315D4">
        <w:rPr>
          <w:sz w:val="22"/>
          <w:szCs w:val="22"/>
        </w:rPr>
        <w:t>6.6 overdoses per 100,000</w:t>
      </w:r>
      <w:r w:rsidR="000F1C89" w:rsidRPr="00F315D4">
        <w:rPr>
          <w:sz w:val="22"/>
          <w:szCs w:val="22"/>
        </w:rPr>
        <w:t xml:space="preserve"> would be </w:t>
      </w:r>
      <w:r w:rsidR="00E879ED" w:rsidRPr="00F315D4">
        <w:rPr>
          <w:sz w:val="22"/>
          <w:szCs w:val="22"/>
        </w:rPr>
        <w:t>comparable to the national average.</w:t>
      </w:r>
      <w:r w:rsidR="000723E3" w:rsidRPr="00F315D4">
        <w:rPr>
          <w:sz w:val="22"/>
          <w:szCs w:val="22"/>
        </w:rPr>
        <w:fldChar w:fldCharType="begin" w:fldLock="1"/>
      </w:r>
      <w:r w:rsidR="004D5A03" w:rsidRPr="00F315D4">
        <w:rPr>
          <w:sz w:val="22"/>
          <w:szCs w:val="22"/>
        </w:rPr>
        <w:instrText>ADDIN CSL_CITATION {"citationItems":[{"id":"ITEM-1","itemData":{"URL":"https://www.kff.org/other/state-indicator/opioid-overdose-death-rates/?currentTimeframe=0&amp;sortModel=%7B%22colId%22:%22Location%22,%22sort%22:%22asc%22%7D","accessed":{"date-parts":[["2019","8","19"]]},"author":[{"dropping-particle":"","family":"Kaiser Family Foundation","given":"","non-dropping-particle":"","parse-names":false,"suffix":""}],"container-title":"State Health Facts","id":"ITEM-1","issued":{"date-parts":[["217"]]},"title":"Opioid Overdose Death Rates and All Drug Overdose Death Rates Per 100,000 Population (Age-Adjusted)","type":"webpage"},"uris":["http://www.mendeley.com/documents/?uuid=a378c30a-a880-4b7a-9752-15a8d5b2a295"]}],"mendeley":{"formattedCitation":"&lt;sup&gt;20&lt;/sup&gt;","plainTextFormattedCitation":"20","previouslyFormattedCitation":"&lt;sup&gt;20&lt;/sup&gt;"},"properties":{"noteIndex":0},"schema":"https://github.com/citation-style-language/schema/raw/master/csl-citation.json"}</w:instrText>
      </w:r>
      <w:r w:rsidR="000723E3" w:rsidRPr="00F315D4">
        <w:rPr>
          <w:sz w:val="22"/>
          <w:szCs w:val="22"/>
        </w:rPr>
        <w:fldChar w:fldCharType="separate"/>
      </w:r>
      <w:r w:rsidR="00067E47" w:rsidRPr="00F315D4">
        <w:rPr>
          <w:noProof/>
          <w:sz w:val="22"/>
          <w:szCs w:val="22"/>
          <w:vertAlign w:val="superscript"/>
        </w:rPr>
        <w:t>20</w:t>
      </w:r>
      <w:r w:rsidR="000723E3" w:rsidRPr="00F315D4">
        <w:rPr>
          <w:sz w:val="22"/>
          <w:szCs w:val="22"/>
        </w:rPr>
        <w:fldChar w:fldCharType="end"/>
      </w:r>
      <w:r w:rsidR="00874CC2" w:rsidRPr="00F315D4">
        <w:rPr>
          <w:sz w:val="22"/>
          <w:szCs w:val="22"/>
        </w:rPr>
        <w:t xml:space="preserve"> Though Florida </w:t>
      </w:r>
      <w:r w:rsidR="00D516F4" w:rsidRPr="00F315D4">
        <w:rPr>
          <w:sz w:val="22"/>
          <w:szCs w:val="22"/>
        </w:rPr>
        <w:t xml:space="preserve">does not have as large of a problem per population as many states, Florida </w:t>
      </w:r>
      <w:r w:rsidR="006C1B62" w:rsidRPr="00F315D4">
        <w:rPr>
          <w:sz w:val="22"/>
          <w:szCs w:val="22"/>
        </w:rPr>
        <w:t>as the third most pop</w:t>
      </w:r>
      <w:r w:rsidR="00F84070" w:rsidRPr="00F315D4">
        <w:rPr>
          <w:sz w:val="22"/>
          <w:szCs w:val="22"/>
        </w:rPr>
        <w:t>ulous</w:t>
      </w:r>
      <w:r w:rsidR="006C1B62" w:rsidRPr="00F315D4">
        <w:rPr>
          <w:sz w:val="22"/>
          <w:szCs w:val="22"/>
        </w:rPr>
        <w:t xml:space="preserve"> state in the</w:t>
      </w:r>
      <w:r w:rsidR="00F84070" w:rsidRPr="00F315D4">
        <w:rPr>
          <w:sz w:val="22"/>
          <w:szCs w:val="22"/>
        </w:rPr>
        <w:t xml:space="preserve"> </w:t>
      </w:r>
      <w:r w:rsidR="006F5DE9" w:rsidRPr="00F315D4">
        <w:rPr>
          <w:sz w:val="22"/>
          <w:szCs w:val="22"/>
        </w:rPr>
        <w:t>U.S.</w:t>
      </w:r>
      <w:r w:rsidR="00F84070" w:rsidRPr="00F315D4">
        <w:rPr>
          <w:sz w:val="22"/>
          <w:szCs w:val="22"/>
        </w:rPr>
        <w:t xml:space="preserve"> represent</w:t>
      </w:r>
      <w:r w:rsidR="000C4591" w:rsidRPr="00F315D4">
        <w:rPr>
          <w:sz w:val="22"/>
          <w:szCs w:val="22"/>
        </w:rPr>
        <w:t>s</w:t>
      </w:r>
      <w:r w:rsidR="00F84070" w:rsidRPr="00F315D4">
        <w:rPr>
          <w:sz w:val="22"/>
          <w:szCs w:val="22"/>
        </w:rPr>
        <w:t xml:space="preserve"> a large proport</w:t>
      </w:r>
      <w:r w:rsidR="008428EE" w:rsidRPr="00F315D4">
        <w:rPr>
          <w:sz w:val="22"/>
          <w:szCs w:val="22"/>
        </w:rPr>
        <w:t xml:space="preserve">ion of the opioid epidemic in the </w:t>
      </w:r>
      <w:r w:rsidR="006F5DE9" w:rsidRPr="00F315D4">
        <w:rPr>
          <w:sz w:val="22"/>
          <w:szCs w:val="22"/>
        </w:rPr>
        <w:t>U.S.</w:t>
      </w:r>
    </w:p>
    <w:p w14:paraId="18B36ACB" w14:textId="23CB599A" w:rsidR="004334D3" w:rsidRPr="00F315D4" w:rsidRDefault="00264B66" w:rsidP="00F315D4">
      <w:pPr>
        <w:tabs>
          <w:tab w:val="left" w:pos="720"/>
        </w:tabs>
        <w:spacing w:after="220"/>
        <w:rPr>
          <w:sz w:val="22"/>
          <w:szCs w:val="22"/>
        </w:rPr>
      </w:pPr>
      <w:bookmarkStart w:id="29" w:name="_GoBack"/>
      <w:bookmarkEnd w:id="29"/>
      <w:r w:rsidRPr="00F315D4">
        <w:rPr>
          <w:sz w:val="22"/>
          <w:szCs w:val="22"/>
        </w:rPr>
        <w:t xml:space="preserve">The most affected counties in Florida experienced significant </w:t>
      </w:r>
      <w:r w:rsidR="00A132CF" w:rsidRPr="00F315D4">
        <w:rPr>
          <w:sz w:val="22"/>
          <w:szCs w:val="22"/>
        </w:rPr>
        <w:t>age-adjusted fatal opioid overdose rates.</w:t>
      </w:r>
      <w:r w:rsidR="00321E99" w:rsidRPr="00F315D4">
        <w:rPr>
          <w:sz w:val="22"/>
          <w:szCs w:val="22"/>
        </w:rPr>
        <w:t xml:space="preserve"> If the rates maintained through the end of 2018, Lee, Duval, Volusia, and </w:t>
      </w:r>
      <w:r w:rsidR="000537FA" w:rsidRPr="00F315D4">
        <w:rPr>
          <w:sz w:val="22"/>
          <w:szCs w:val="22"/>
        </w:rPr>
        <w:t>Palm Beach</w:t>
      </w:r>
      <w:r w:rsidR="00321E99" w:rsidRPr="00F315D4">
        <w:rPr>
          <w:sz w:val="22"/>
          <w:szCs w:val="22"/>
        </w:rPr>
        <w:t xml:space="preserve"> counties would have respectively experienced raw annual fatal opioid overdose rates of 32.3, 31.8, 30.8, and 28.7 per 100,000 people ages 10 and older.</w:t>
      </w:r>
      <w:r w:rsidR="004D5A03" w:rsidRPr="00F315D4">
        <w:rPr>
          <w:sz w:val="22"/>
          <w:szCs w:val="22"/>
        </w:rPr>
        <w:t xml:space="preserve"> </w:t>
      </w:r>
      <w:r w:rsidR="00321E99" w:rsidRPr="00F315D4">
        <w:rPr>
          <w:sz w:val="22"/>
          <w:szCs w:val="22"/>
        </w:rPr>
        <w:t xml:space="preserve">These county rates are similar to some of the top states most affected by the opioid epidemic (e.g., Maryland at </w:t>
      </w:r>
      <w:r w:rsidR="008040A5">
        <w:rPr>
          <w:sz w:val="22"/>
          <w:szCs w:val="22"/>
        </w:rPr>
        <w:t>fifth</w:t>
      </w:r>
      <w:r w:rsidR="00321E99" w:rsidRPr="00F315D4">
        <w:rPr>
          <w:sz w:val="22"/>
          <w:szCs w:val="22"/>
        </w:rPr>
        <w:t xml:space="preserve">, Massachusetts at </w:t>
      </w:r>
      <w:r w:rsidR="008040A5">
        <w:rPr>
          <w:sz w:val="22"/>
          <w:szCs w:val="22"/>
        </w:rPr>
        <w:t>seventh</w:t>
      </w:r>
      <w:r w:rsidR="00321E99" w:rsidRPr="00F315D4">
        <w:rPr>
          <w:sz w:val="22"/>
          <w:szCs w:val="22"/>
        </w:rPr>
        <w:t>).</w:t>
      </w:r>
      <w:r w:rsidR="00C23CC6" w:rsidRPr="00F315D4">
        <w:rPr>
          <w:sz w:val="22"/>
          <w:szCs w:val="22"/>
        </w:rPr>
        <w:fldChar w:fldCharType="begin" w:fldLock="1"/>
      </w:r>
      <w:r w:rsidR="004D5A03" w:rsidRPr="00F315D4">
        <w:rPr>
          <w:sz w:val="22"/>
          <w:szCs w:val="22"/>
        </w:rPr>
        <w:instrText>ADDIN CSL_CITATION {"citationItems":[{"id":"ITEM-1","itemData":{"URL":"https://www.kff.org/other/state-indicator/opioid-overdose-death-rates/?currentTimeframe=0&amp;sortModel=%7B%22colId%22:%22Location%22,%22sort%22:%22asc%22%7D","accessed":{"date-parts":[["2019","8","19"]]},"author":[{"dropping-particle":"","family":"Kaiser Family Foundation","given":"","non-dropping-particle":"","parse-names":false,"suffix":""}],"container-title":"State Health Facts","id":"ITEM-1","issued":{"date-parts":[["217"]]},"title":"Opioid Overdose Death Rates and All Drug Overdose Death Rates Per 100,000 Population (Age-Adjusted)","type":"webpage"},"uris":["http://www.mendeley.com/documents/?uuid=a378c30a-a880-4b7a-9752-15a8d5b2a295"]}],"mendeley":{"formattedCitation":"&lt;sup&gt;20&lt;/sup&gt;","plainTextFormattedCitation":"20","previouslyFormattedCitation":"&lt;sup&gt;20&lt;/sup&gt;"},"properties":{"noteIndex":0},"schema":"https://github.com/citation-style-language/schema/raw/master/csl-citation.json"}</w:instrText>
      </w:r>
      <w:r w:rsidR="00C23CC6" w:rsidRPr="00F315D4">
        <w:rPr>
          <w:sz w:val="22"/>
          <w:szCs w:val="22"/>
        </w:rPr>
        <w:fldChar w:fldCharType="separate"/>
      </w:r>
      <w:r w:rsidR="00067E47" w:rsidRPr="00F315D4">
        <w:rPr>
          <w:noProof/>
          <w:sz w:val="22"/>
          <w:szCs w:val="22"/>
          <w:vertAlign w:val="superscript"/>
        </w:rPr>
        <w:t>20</w:t>
      </w:r>
      <w:r w:rsidR="00C23CC6" w:rsidRPr="00F315D4">
        <w:rPr>
          <w:sz w:val="22"/>
          <w:szCs w:val="22"/>
        </w:rPr>
        <w:fldChar w:fldCharType="end"/>
      </w:r>
      <w:r w:rsidR="004D5A03" w:rsidRPr="00F315D4">
        <w:rPr>
          <w:sz w:val="22"/>
          <w:szCs w:val="22"/>
        </w:rPr>
        <w:t xml:space="preserve"> These counties were similarly ranked at the end of 2017 with Duval at </w:t>
      </w:r>
      <w:r w:rsidR="008040A5">
        <w:rPr>
          <w:sz w:val="22"/>
          <w:szCs w:val="22"/>
        </w:rPr>
        <w:t>first</w:t>
      </w:r>
      <w:r w:rsidR="004D5A03" w:rsidRPr="00F315D4">
        <w:rPr>
          <w:sz w:val="22"/>
          <w:szCs w:val="22"/>
        </w:rPr>
        <w:t xml:space="preserve">, Palm Beach at </w:t>
      </w:r>
      <w:r w:rsidR="008040A5">
        <w:rPr>
          <w:sz w:val="22"/>
          <w:szCs w:val="22"/>
        </w:rPr>
        <w:t>second</w:t>
      </w:r>
      <w:r w:rsidR="004D5A03" w:rsidRPr="00F315D4">
        <w:rPr>
          <w:sz w:val="22"/>
          <w:szCs w:val="22"/>
        </w:rPr>
        <w:t xml:space="preserve">, Lee at </w:t>
      </w:r>
      <w:r w:rsidR="008040A5">
        <w:rPr>
          <w:sz w:val="22"/>
          <w:szCs w:val="22"/>
        </w:rPr>
        <w:t>third</w:t>
      </w:r>
      <w:r w:rsidR="004D5A03" w:rsidRPr="00F315D4">
        <w:rPr>
          <w:sz w:val="22"/>
          <w:szCs w:val="22"/>
        </w:rPr>
        <w:t xml:space="preserve">, and Volusia at </w:t>
      </w:r>
      <w:r w:rsidR="008040A5">
        <w:rPr>
          <w:sz w:val="22"/>
          <w:szCs w:val="22"/>
        </w:rPr>
        <w:t>fifth</w:t>
      </w:r>
      <w:r w:rsidR="004D5A03" w:rsidRPr="00F315D4">
        <w:rPr>
          <w:sz w:val="22"/>
          <w:szCs w:val="22"/>
        </w:rPr>
        <w:t>.</w:t>
      </w:r>
      <w:r w:rsidR="004D5A03" w:rsidRPr="00F315D4">
        <w:rPr>
          <w:sz w:val="22"/>
          <w:szCs w:val="22"/>
        </w:rPr>
        <w:fldChar w:fldCharType="begin" w:fldLock="1"/>
      </w:r>
      <w:r w:rsidR="008040A5">
        <w:rPr>
          <w:sz w:val="22"/>
          <w:szCs w:val="22"/>
        </w:rPr>
        <w:instrText>ADDIN CSL_CITATION {"citationItems":[{"id":"ITEM-1","itemData":{"author":[{"dropping-particle":"","family":"Florida Department of Health","given":"","non-dropping-particle":"","parse-names":false,"suffix":""}],"id":"ITEM-1","issued":{"date-parts":[["2017"]]},"number-of-pages":"1-30","publisher-place":"Tallahassee, FL","title":"Fatal Opioid Overdose Surveillance: Florida 2017 Q3-Q4","type":"report"},"uris":["http://www.mendeley.com/documents/?uuid=47b15d7d-8509-4c8e-b1ad-24b2747c7b4d"]}],"mendeley":{"formattedCitation":"&lt;sup&gt;7&lt;/sup&gt;","plainTextFormattedCitation":"7","previouslyFormattedCitation":"&lt;sup&gt;7&lt;/sup&gt;"},"properties":{"noteIndex":0},"schema":"https://github.com/citation-style-language/schema/raw/master/csl-citation.json"}</w:instrText>
      </w:r>
      <w:r w:rsidR="004D5A03" w:rsidRPr="00F315D4">
        <w:rPr>
          <w:sz w:val="22"/>
          <w:szCs w:val="22"/>
        </w:rPr>
        <w:fldChar w:fldCharType="separate"/>
      </w:r>
      <w:r w:rsidR="004D5A03" w:rsidRPr="00F315D4">
        <w:rPr>
          <w:noProof/>
          <w:sz w:val="22"/>
          <w:szCs w:val="22"/>
          <w:vertAlign w:val="superscript"/>
        </w:rPr>
        <w:t>7</w:t>
      </w:r>
      <w:r w:rsidR="004D5A03" w:rsidRPr="00F315D4">
        <w:rPr>
          <w:sz w:val="22"/>
          <w:szCs w:val="22"/>
        </w:rPr>
        <w:fldChar w:fldCharType="end"/>
      </w:r>
    </w:p>
    <w:p w14:paraId="576A4D7A" w14:textId="1C07C236" w:rsidR="003068DF" w:rsidRPr="00F315D4" w:rsidRDefault="003068DF" w:rsidP="00F315D4">
      <w:pPr>
        <w:tabs>
          <w:tab w:val="left" w:pos="720"/>
        </w:tabs>
        <w:spacing w:after="220"/>
        <w:rPr>
          <w:sz w:val="22"/>
          <w:szCs w:val="22"/>
        </w:rPr>
      </w:pPr>
      <w:r w:rsidRPr="00F315D4">
        <w:rPr>
          <w:sz w:val="22"/>
          <w:szCs w:val="22"/>
        </w:rPr>
        <w:t>Resources should be targeted toward individuals most at-risk, namely young to middle aged adults, men, whites, the homeless, and those with lower education.</w:t>
      </w:r>
      <w:r w:rsidR="00067E47" w:rsidRPr="00F315D4">
        <w:rPr>
          <w:sz w:val="22"/>
          <w:szCs w:val="22"/>
        </w:rPr>
        <w:t xml:space="preserve"> These findings are similar to previous reporting in the state that men, whites, and those with lower education were at greater risk of fatal opioid overdose.</w:t>
      </w:r>
      <w:r w:rsidR="00067E47" w:rsidRPr="00F315D4">
        <w:rPr>
          <w:sz w:val="22"/>
          <w:szCs w:val="22"/>
        </w:rPr>
        <w:fldChar w:fldCharType="begin" w:fldLock="1"/>
      </w:r>
      <w:r w:rsidR="004D5A03" w:rsidRPr="00F315D4">
        <w:rPr>
          <w:sz w:val="22"/>
          <w:szCs w:val="22"/>
        </w:rPr>
        <w:instrText>ADDIN CSL_CITATION {"citationItems":[{"id":"ITEM-1","itemData":{"author":[{"dropping-particle":"","family":"Florida Department of Health","given":"","non-dropping-particle":"","parse-names":false,"suffix":""}],"id":"ITEM-1","issued":{"date-parts":[["2017"]]},"number-of-pages":"1-30","publisher-place":"Tallahassee, FL","title":"Fatal Opioid Overdose Surveillance: Florida 2017 Q3-Q4","type":"report"},"uris":["http://www.mendeley.com/documents/?uuid=47b15d7d-8509-4c8e-b1ad-24b2747c7b4d"]}],"mendeley":{"formattedCitation":"&lt;sup&gt;7&lt;/sup&gt;","plainTextFormattedCitation":"7","previouslyFormattedCitation":"&lt;sup&gt;7&lt;/sup&gt;"},"properties":{"noteIndex":0},"schema":"https://github.com/citation-style-language/schema/raw/master/csl-citation.json"}</w:instrText>
      </w:r>
      <w:r w:rsidR="00067E47" w:rsidRPr="00F315D4">
        <w:rPr>
          <w:sz w:val="22"/>
          <w:szCs w:val="22"/>
        </w:rPr>
        <w:fldChar w:fldCharType="separate"/>
      </w:r>
      <w:r w:rsidR="00067E47" w:rsidRPr="00F315D4">
        <w:rPr>
          <w:noProof/>
          <w:sz w:val="22"/>
          <w:szCs w:val="22"/>
          <w:vertAlign w:val="superscript"/>
        </w:rPr>
        <w:t>7</w:t>
      </w:r>
      <w:r w:rsidR="00067E47" w:rsidRPr="00F315D4">
        <w:rPr>
          <w:sz w:val="22"/>
          <w:szCs w:val="22"/>
        </w:rPr>
        <w:fldChar w:fldCharType="end"/>
      </w:r>
      <w:r w:rsidR="00067E47" w:rsidRPr="00F315D4">
        <w:rPr>
          <w:sz w:val="22"/>
          <w:szCs w:val="22"/>
        </w:rPr>
        <w:t xml:space="preserve"> As public health resources are often limited, it is imperative to make the largest impacts possible in these groups most at-risk.</w:t>
      </w:r>
      <w:r w:rsidRPr="00F315D4">
        <w:rPr>
          <w:sz w:val="22"/>
          <w:szCs w:val="22"/>
        </w:rPr>
        <w:tab/>
      </w:r>
    </w:p>
    <w:p w14:paraId="76CFFB53" w14:textId="19F301F8" w:rsidR="00D2121F" w:rsidRPr="00F315D4" w:rsidRDefault="00D55D04" w:rsidP="00F315D4">
      <w:pPr>
        <w:tabs>
          <w:tab w:val="left" w:pos="720"/>
        </w:tabs>
        <w:spacing w:after="220"/>
        <w:rPr>
          <w:sz w:val="22"/>
          <w:szCs w:val="22"/>
        </w:rPr>
      </w:pPr>
      <w:r w:rsidRPr="00F315D4">
        <w:rPr>
          <w:sz w:val="22"/>
          <w:szCs w:val="22"/>
        </w:rPr>
        <w:t xml:space="preserve">Decedents overdosed on a prescription opioid prescribed to themselves in </w:t>
      </w:r>
      <w:r w:rsidR="00E84CA1" w:rsidRPr="00F315D4">
        <w:rPr>
          <w:sz w:val="22"/>
          <w:szCs w:val="22"/>
        </w:rPr>
        <w:t xml:space="preserve">approximately </w:t>
      </w:r>
      <w:r w:rsidR="00D2338D" w:rsidRPr="00F315D4">
        <w:rPr>
          <w:sz w:val="22"/>
          <w:szCs w:val="22"/>
        </w:rPr>
        <w:t>5</w:t>
      </w:r>
      <w:r w:rsidR="008040A5">
        <w:rPr>
          <w:sz w:val="22"/>
          <w:szCs w:val="22"/>
        </w:rPr>
        <w:t xml:space="preserve"> percent</w:t>
      </w:r>
      <w:r w:rsidRPr="00F315D4">
        <w:rPr>
          <w:sz w:val="22"/>
          <w:szCs w:val="22"/>
        </w:rPr>
        <w:t xml:space="preserve"> of</w:t>
      </w:r>
      <w:r w:rsidR="00E84CA1" w:rsidRPr="00F315D4">
        <w:rPr>
          <w:sz w:val="22"/>
          <w:szCs w:val="22"/>
        </w:rPr>
        <w:t xml:space="preserve"> cases.</w:t>
      </w:r>
      <w:r w:rsidRPr="00F315D4">
        <w:rPr>
          <w:sz w:val="22"/>
          <w:szCs w:val="22"/>
        </w:rPr>
        <w:t xml:space="preserve"> </w:t>
      </w:r>
      <w:r w:rsidR="0062630B" w:rsidRPr="00F315D4">
        <w:rPr>
          <w:sz w:val="22"/>
          <w:szCs w:val="22"/>
        </w:rPr>
        <w:t xml:space="preserve">Careful prescribing </w:t>
      </w:r>
      <w:r w:rsidRPr="00F315D4">
        <w:rPr>
          <w:sz w:val="22"/>
          <w:szCs w:val="22"/>
        </w:rPr>
        <w:t>and education to those prescribed opioids might have helped for a small portion of the deceased individuals, but the much larger problem is in the illicit manufacturing and distribution of opioids. More could be done to prevent people from accessing other’s prescriptions and combating illicit forms of opioids.</w:t>
      </w:r>
      <w:r w:rsidR="006B7071" w:rsidRPr="00F315D4">
        <w:rPr>
          <w:sz w:val="22"/>
          <w:szCs w:val="22"/>
        </w:rPr>
        <w:t xml:space="preserve"> </w:t>
      </w:r>
    </w:p>
    <w:p w14:paraId="63A0E793" w14:textId="2D143ACE" w:rsidR="006A7544" w:rsidRPr="00F315D4" w:rsidRDefault="00794047" w:rsidP="00F315D4">
      <w:pPr>
        <w:tabs>
          <w:tab w:val="left" w:pos="720"/>
        </w:tabs>
        <w:spacing w:after="220"/>
        <w:rPr>
          <w:color w:val="231F20"/>
          <w:sz w:val="22"/>
          <w:szCs w:val="22"/>
        </w:rPr>
      </w:pPr>
      <w:r w:rsidRPr="00F315D4">
        <w:rPr>
          <w:color w:val="231F20"/>
          <w:sz w:val="22"/>
          <w:szCs w:val="22"/>
        </w:rPr>
        <w:t xml:space="preserve">Naloxone was not administered in almost all cases where deaths occurred outside medical settings (e.g., decedent’s home). Many areas have successfully distributed </w:t>
      </w:r>
      <w:r w:rsidR="004F072E" w:rsidRPr="00F315D4">
        <w:rPr>
          <w:color w:val="231F20"/>
          <w:sz w:val="22"/>
          <w:szCs w:val="22"/>
        </w:rPr>
        <w:t>naloxone</w:t>
      </w:r>
      <w:r w:rsidRPr="00F315D4">
        <w:rPr>
          <w:color w:val="231F20"/>
          <w:sz w:val="22"/>
          <w:szCs w:val="22"/>
        </w:rPr>
        <w:t xml:space="preserve"> to laypersons to combat fatal opioid overdoses in settings where medical professionals are not present.</w:t>
      </w:r>
      <w:r w:rsidRPr="00F315D4">
        <w:rPr>
          <w:color w:val="231F20"/>
          <w:sz w:val="22"/>
          <w:szCs w:val="22"/>
        </w:rPr>
        <w:fldChar w:fldCharType="begin" w:fldLock="1"/>
      </w:r>
      <w:r w:rsidR="004D5A03" w:rsidRPr="00F315D4">
        <w:rPr>
          <w:color w:val="231F20"/>
          <w:sz w:val="22"/>
          <w:szCs w:val="22"/>
        </w:rPr>
        <w:instrText>ADDIN CSL_CITATION {"citationItems":[{"id":"ITEM-1","itemData":{"abstract":"Drug overdose death rates have increased steadily in the United States since 1979. In 2008, a total of 36,450 drug overdose deaths (i.e., unintentional, intentional [suicide or homicide], or undetermined intent) were reported, with prescription opioid analgesics (e.g., oxycodone, hydrocodone, and methadone), cocaine, and heroin the drugs most commonly involved (1). Since the mid-1990s, community-based programs have offered opioid overdose prevention services to persons who use drugs, their families and friends, and service providers. Since 1996, an increasing number of these programs have provided the opioid antagonist naloxone hydrochloride, the treatment of choice to reverse the potentially fatal respiratory depression caused by overdose of heroin and other opioids (2). Naloxone has no effect on non-opioid overdoses (e.g., cocaine, benzodiazepines, or alcohol) (3). In October 2010, the Harm Reduction Coalition, a national advocacy and capacity-building organization, surveyed 50 programs known to distribute naloxone in the United States, to collect data on local program locations, naloxone distribution, and overdose reversals. This report summarizes the findings for the 48 programs that completed the survey and the 188 local programs represented by the responses. Since the first opioid overdose prevention program began distributing naloxone in 1996, the respondent programs reported training and distributing naloxone to 53,032 persons and receiving reports of 10,171 overdose reversals. Providing opioid overdose education and naloxone to persons who use drugs and to persons who might be present at an opioid overdose can help reduce opioid overdose mortality, a rapidly growing public health concern. Overdose is common among persons who use opioids, including heroin users. In a 2002– 2004 study of 329 drug users, 82% said they had used heroin, 64.6% had witnessed a drug overdose, and 34.6% had experienced an unintentional drug overdose (4). In 1996, community-based programs began offering naloxone and other opioid overdose prevention services to persons who use drugs, their families and friends, and service providers (e.g., Corresponding contributor: Eliza Wheeler, wheeler@harmreduction.org, 510-444-6969.","author":[{"dropping-particle":"","family":"Wheeler","given":"Eliza","non-dropping-particle":"","parse-names":false,"suffix":""},{"dropping-particle":"","family":"Davidson","given":"Peter J","non-dropping-particle":"","parse-names":false,"suffix":""},{"dropping-particle":"","family":"Jones","given":"T Stephen","non-dropping-particle":"","parse-names":false,"suffix":""},{"dropping-particle":"","family":"Irwin","given":"Kevin S","non-dropping-particle":"","parse-names":false,"suffix":""}],"container-title":"MMWR Morb Mortal Wkly Rep","id":"ITEM-1","issue":"6","issued":{"date-parts":[["2012"]]},"page":"101-105","title":"Community-Based Opioid Overdose Prevention Programs Providing Naloxone — United States, 2010 Drug Overdose Prevention and Education (DOPE) Project, Harm Reduction Coalition, Oakland","type":"article-journal","volume":"61"},"uris":["http://www.mendeley.com/documents/?uuid=596bebc3-d1dc-4308-abc7-1600ee6c13e7"]},{"id":"ITEM-2","itemData":{"DOI":"10.1136/bmj.f174","ISSN":"17561833","abstract":"OBJECTIVE To evaluate the impact of state supported overdose education and nasal naloxone distribution (OEND) programs on rates of opioid related death from overdose and acute care utilization in Massachusetts. DESIGN Interrupted time series analysis of opioid related overdose death and acute care utilization rates from 2002 to 2009 comparing community-year strata with high and low rates of OEND implementation to those with no implementation. SETTING 19 Massachusetts communities (geographically distinct cities and towns) with at least five fatal opioid overdoses in each of the years 2004 to 2006. PARTICIPANTS OEND was implemented among opioid users at risk for overdose, social service agency staff, family, and friends of opioid users. INTERVENTION OEND programs equipped people at risk for overdose and bystanders with nasal naloxone rescue kits and trained them how to prevent, recognize, and respond to an overdose by engaging emergency medical services, providing rescue breathing, and delivering naloxone. MAIN OUTCOME MEASURES Adjusted rate ratios for annual deaths related to opioid overdose and utilization of acute care hospitals. RESULTS Among these communities, OEND programs trained 2912 potential bystanders who reported 327 rescues. Both community-year strata with 1-100 enrollments per 100,000 population (adjusted rate ratio 0.73, 95% confidence interval 0.57 to 0.91) and community-year strata with greater than 100 enrollments per 100,000 population (0.54, 0.39 to 0.76) had significantly reduced adjusted rate ratios compared with communities with no implementation. Differences in rates of acute care hospital utilization were not significant. CONCLUSIONS Opioid overdose death rates were reduced in communities where OEND was implemented. This study provides observational evidence that by training potential bystanders to prevent, recognize, and respond to opioid overdoses, OEND is an effective intervention.","author":[{"dropping-particle":"","family":"Walley","given":"Alexander Y.","non-dropping-particle":"","parse-names":false,"suffix":""},{"dropping-particle":"","family":"Xuan","given":"Ziming","non-dropping-particle":"","parse-names":false,"suffix":""},{"dropping-particle":"","family":"Hackman","given":"H. Holly","non-dropping-particle":"","parse-names":false,"suffix":""},{"dropping-particle":"","family":"Quinn","given":"Emily","non-dropping-particle":"","parse-names":false,"suffix":""},{"dropping-particle":"","family":"Doe-Simkins","given":"Maya","non-dropping-particle":"","parse-names":false,"suffix":""},{"dropping-particle":"","family":"Sorensen-Alawad","given":"Amy","non-dropping-particle":"","parse-names":false,"suffix":""},{"dropping-particle":"","family":"Ruiz","given":"Sarah","non-dropping-particle":"","parse-names":false,"suffix":""},{"dropping-particle":"","family":"Ozonoff","given":"Al","non-dropping-particle":"","parse-names":false,"suffix":""}],"container-title":"BMJ (Online)","id":"ITEM-2","issue":"f174","issued":{"date-parts":[["2013"]]},"page":"1-13","title":"Opioid overdose rates and implementation of overdose education and nasal naloxone distribution in Massachusetts: Interrupted time series analysis","type":"article-journal","volume":"346"},"uris":["http://www.mendeley.com/documents/?uuid=dbab3721-8a47-49e3-aa1e-1b35c59e4497"]},{"id":"ITEM-3","itemData":{"DOI":"10.3111/13696998.2013.811080","abstract":"Objective: To evaluate the cost-effectiveness of distributing naloxone to illicit opioid users for lay overdose reversal in Russian cities. Method: This study adapted an integrated Markov and decision analytic model to Russian cities. The model took a lifetime, societal perspective, relied on published literature, and was calibrated to epidemiologic findings. Results: For each 20% of heroin users reached with naloxone distribution, the model predicted a 13.4% reduction in overdose deaths in the first 5 years and 7.6% over a lifetime; on probabilistic analysis, one death would be prevented for every 89 naloxone kits distributed (95% CI=32-260). Naloxone distribution was cost-effective in all deterministic and probabilistic sensitivity analyses and cost-saving if resulting in a reduction in overdose events. Naloxone distribution increased costs by US$13 (95% CI=US$3-US$32) and QALYs by 0.137 (95% CI=0.022-0.389) for an incremental cost of US$94 per QALY gained (95% CI=US$40-US$325). In a worst-case scenario where overdose was rarely witnessed and naloxone was rarely used, minimally effective, and expensive, the incremental cost was US$1987 per QALY gained. If national expenditures on drug-related HIV, tuberculosis, and criminal justice were applied to heroin users, the incremental cost was US$928 per QALY gained. Conclusions: Naloxone distribution to heroin users for lay overdose reversal is highly likely to reduce overdose deaths in target communities and is robustly cost-effective, even within the constraints of this conservative model. © 2013 All rights reserved: reproduction in whole or part not permitted.","author":[{"dropping-particle":"","family":"Coffin","given":"Phillip O","non-dropping-particle":"","parse-names":false,"suffix":""},{"dropping-particle":"","family":"Sullivan","given":"Sean D","non-dropping-particle":"","parse-names":false,"suffix":""}],"container-title":"Annals of Internal Medicine","id":"ITEM-3","issue":"1","issued":{"date-parts":[["2013"]]},"page":"1-9","title":"Cost-Effectiveness of Distributing Naloxone to Heroin Users for Lay Overdose Reversal","type":"article-journal","volume":"158"},"uris":["http://www.mendeley.com/documents/?uuid=51cacf04-e9e6-4466-ba40-dbe89466c878"]},{"id":"ITEM-4","itemData":{"DOI":"10.1097/ADM.0000000000000034","ISBN":"0000000000000","ISSN":"19353227","abstract":"Community-based opioid overdose prevention programs (OOPPs) that include the distribution of naloxone have increased in response to alarmingly high overdose rates in recent years. This systematic review describes the current state of the literature on OOPPs, with particular focus on the effectiveness of these programs.We used systematic search criteria to identify relevant articles, which we abstracted and assigned a quality assessment score. Nineteen articles evaluating OOPPs met the search criteria for this systematic review. Principal findings included participant demographics, the number of naloxone administrations, percentage of survival in overdose victims receiving naloxone, post-naloxone administration outcome measures, OOPP characteristics, changes in knowledge pertaining to overdose responses, and barriers to naloxone administration during overdose responses. The current evidence from nonrandomized studies suggests that bystanders (mostly opioid users) can and will use naloxone to reverse opioid overdoses when properly trained, and that this training can be done successfully through OOPPs. Copyright © 2014 American Society of Addiction Medicine.","author":[{"dropping-particle":"","family":"Clark","given":"Angela K.","non-dropping-particle":"","parse-names":false,"suffix":""},{"dropping-particle":"","family":"Wilder","given":"Christine M.","non-dropping-particle":"","parse-names":false,"suffix":""},{"dropping-particle":"","family":"Winstanley","given":"Erin L.","non-dropping-particle":"","parse-names":false,"suffix":""}],"container-title":"Journal of Addiction Medicine","id":"ITEM-4","issue":"3","issued":{"date-parts":[["2014"]]},"page":"153-163","title":"A Systematic Review of Community Opioid Overdose Prevention and Naloxone Distribution Programs","type":"article-journal","volume":"8"},"uris":["http://www.mendeley.com/documents/?uuid=529b4efb-b1a4-4ebc-9ab7-1621483ae683"]}],"mendeley":{"formattedCitation":"&lt;sup&gt;9–12&lt;/sup&gt;","plainTextFormattedCitation":"9–12","previouslyFormattedCitation":"&lt;sup&gt;9–12&lt;/sup&gt;"},"properties":{"noteIndex":0},"schema":"https://github.com/citation-style-language/schema/raw/master/csl-citation.json"}</w:instrText>
      </w:r>
      <w:r w:rsidRPr="00F315D4">
        <w:rPr>
          <w:color w:val="231F20"/>
          <w:sz w:val="22"/>
          <w:szCs w:val="22"/>
        </w:rPr>
        <w:fldChar w:fldCharType="separate"/>
      </w:r>
      <w:r w:rsidR="00067E47" w:rsidRPr="00F315D4">
        <w:rPr>
          <w:noProof/>
          <w:color w:val="231F20"/>
          <w:sz w:val="22"/>
          <w:szCs w:val="22"/>
          <w:vertAlign w:val="superscript"/>
        </w:rPr>
        <w:t>9–12</w:t>
      </w:r>
      <w:r w:rsidRPr="00F315D4">
        <w:rPr>
          <w:color w:val="231F20"/>
          <w:sz w:val="22"/>
          <w:szCs w:val="22"/>
        </w:rPr>
        <w:fldChar w:fldCharType="end"/>
      </w:r>
      <w:r w:rsidRPr="00F315D4">
        <w:rPr>
          <w:color w:val="231F20"/>
          <w:sz w:val="22"/>
          <w:szCs w:val="22"/>
        </w:rPr>
        <w:t xml:space="preserve"> Though better, </w:t>
      </w:r>
      <w:r w:rsidR="004F072E" w:rsidRPr="00F315D4">
        <w:rPr>
          <w:color w:val="231F20"/>
          <w:sz w:val="22"/>
          <w:szCs w:val="22"/>
        </w:rPr>
        <w:t>naloxone</w:t>
      </w:r>
      <w:r w:rsidR="003068DF" w:rsidRPr="00F315D4">
        <w:rPr>
          <w:color w:val="231F20"/>
          <w:sz w:val="22"/>
          <w:szCs w:val="22"/>
        </w:rPr>
        <w:t xml:space="preserve"> was administered in less than half of cases where deaths </w:t>
      </w:r>
      <w:r w:rsidRPr="00F315D4">
        <w:rPr>
          <w:color w:val="231F20"/>
          <w:sz w:val="22"/>
          <w:szCs w:val="22"/>
        </w:rPr>
        <w:t xml:space="preserve">occurred in medical settings (i.e., hospital, emergency department, outpatient). More work should be done in the state to distribute </w:t>
      </w:r>
      <w:r w:rsidR="004F072E" w:rsidRPr="00F315D4">
        <w:rPr>
          <w:color w:val="231F20"/>
          <w:sz w:val="22"/>
          <w:szCs w:val="22"/>
        </w:rPr>
        <w:t>naloxone</w:t>
      </w:r>
      <w:r w:rsidRPr="00F315D4">
        <w:rPr>
          <w:color w:val="231F20"/>
          <w:sz w:val="22"/>
          <w:szCs w:val="22"/>
        </w:rPr>
        <w:t xml:space="preserve"> to both medical professionals and laypersons alike. Naloxone is highly effective at rapidly reversing the effects of an opioid overdose, presents minimal risks, and is cost-effective.</w:t>
      </w:r>
      <w:r w:rsidRPr="00F315D4">
        <w:rPr>
          <w:color w:val="231F20"/>
          <w:sz w:val="22"/>
          <w:szCs w:val="22"/>
        </w:rPr>
        <w:fldChar w:fldCharType="begin" w:fldLock="1"/>
      </w:r>
      <w:r w:rsidR="004D5A03" w:rsidRPr="00F315D4">
        <w:rPr>
          <w:color w:val="231F20"/>
          <w:sz w:val="22"/>
          <w:szCs w:val="22"/>
        </w:rPr>
        <w:instrText>ADDIN CSL_CITATION {"citationItems":[{"id":"ITEM-1","itemData":{"DOI":"https://doi.org/10.26616/NIOSHPUB2019101","author":[{"dropping-particle":"","family":"Centers for Disease Control and Prevention (CDC)","given":"","non-dropping-particle":"","parse-names":false,"suffix":""}],"id":"ITEM-1","issued":{"date-parts":[["2018"]]},"number-of-pages":"1-6","title":"Using Naloxone to Reverse Opioid Overdose in the Workplace: Information for Employers and Workers","type":"report"},"uris":["http://www.mendeley.com/documents/?uuid=f5fe8001-fc6a-43c0-b337-bf6281a77ec1"]},{"id":"ITEM-2","itemData":{"DOI":"10.3111/13696998.2013.811080","abstract":"Objective: To evaluate the cost-effectiveness of distributing naloxone to illicit opioid users for lay overdose reversal in Russian cities. Method: This study adapted an integrated Markov and decision analytic model to Russian cities. The model took a lifetime, societal perspective, relied on published literature, and was calibrated to epidemiologic findings. Results: For each 20% of heroin users reached with naloxone distribution, the model predicted a 13.4% reduction in overdose deaths in the first 5 years and 7.6% over a lifetime; on probabilistic analysis, one death would be prevented for every 89 naloxone kits distributed (95% CI=32-260). Naloxone distribution was cost-effective in all deterministic and probabilistic sensitivity analyses and cost-saving if resulting in a reduction in overdose events. Naloxone distribution increased costs by US$13 (95% CI=US$3-US$32) and QALYs by 0.137 (95% CI=0.022-0.389) for an incremental cost of US$94 per QALY gained (95% CI=US$40-US$325). In a worst-case scenario where overdose was rarely witnessed and naloxone was rarely used, minimally effective, and expensive, the incremental cost was US$1987 per QALY gained. If national expenditures on drug-related HIV, tuberculosis, and criminal justice were applied to heroin users, the incremental cost was US$928 per QALY gained. Conclusions: Naloxone distribution to heroin users for lay overdose reversal is highly likely to reduce overdose deaths in target communities and is robustly cost-effective, even within the constraints of this conservative model. © 2013 All rights reserved: reproduction in whole or part not permitted.","author":[{"dropping-particle":"","family":"Coffin","given":"Phillip O","non-dropping-particle":"","parse-names":false,"suffix":""},{"dropping-particle":"","family":"Sullivan","given":"Sean D","non-dropping-particle":"","parse-names":false,"suffix":""}],"container-title":"Annals of Internal Medicine","id":"ITEM-2","issue":"1","issued":{"date-parts":[["2013"]]},"page":"1-9","title":"Cost-Effectiveness of Distributing Naloxone to Heroin Users for Lay Overdose Reversal","type":"article-journal","volume":"158"},"uris":["http://www.mendeley.com/documents/?uuid=51cacf04-e9e6-4466-ba40-dbe89466c878"]}],"mendeley":{"formattedCitation":"&lt;sup&gt;8,11&lt;/sup&gt;","plainTextFormattedCitation":"8,11","previouslyFormattedCitation":"&lt;sup&gt;8,11&lt;/sup&gt;"},"properties":{"noteIndex":0},"schema":"https://github.com/citation-style-language/schema/raw/master/csl-citation.json"}</w:instrText>
      </w:r>
      <w:r w:rsidRPr="00F315D4">
        <w:rPr>
          <w:color w:val="231F20"/>
          <w:sz w:val="22"/>
          <w:szCs w:val="22"/>
        </w:rPr>
        <w:fldChar w:fldCharType="separate"/>
      </w:r>
      <w:r w:rsidR="00067E47" w:rsidRPr="00F315D4">
        <w:rPr>
          <w:noProof/>
          <w:color w:val="231F20"/>
          <w:sz w:val="22"/>
          <w:szCs w:val="22"/>
          <w:vertAlign w:val="superscript"/>
        </w:rPr>
        <w:t>8,11</w:t>
      </w:r>
      <w:r w:rsidRPr="00F315D4">
        <w:rPr>
          <w:color w:val="231F20"/>
          <w:sz w:val="22"/>
          <w:szCs w:val="22"/>
        </w:rPr>
        <w:fldChar w:fldCharType="end"/>
      </w:r>
    </w:p>
    <w:p w14:paraId="6D90278A" w14:textId="5365AF20" w:rsidR="007F7145" w:rsidRPr="009735AD" w:rsidRDefault="002211F5" w:rsidP="00F315D4">
      <w:pPr>
        <w:tabs>
          <w:tab w:val="left" w:pos="720"/>
        </w:tabs>
        <w:spacing w:after="220"/>
        <w:rPr>
          <w:rFonts w:ascii="Times New Roman" w:hAnsi="Times New Roman" w:cs="Times New Roman"/>
        </w:rPr>
      </w:pPr>
      <w:r w:rsidRPr="00F315D4">
        <w:rPr>
          <w:sz w:val="22"/>
          <w:szCs w:val="22"/>
        </w:rPr>
        <w:t>Florida Department of Health</w:t>
      </w:r>
      <w:r w:rsidR="002F38FF" w:rsidRPr="00F315D4">
        <w:rPr>
          <w:sz w:val="22"/>
          <w:szCs w:val="22"/>
        </w:rPr>
        <w:t xml:space="preserve"> implements the Helping Emergency Responders Obtain Support (HEROS) Program where </w:t>
      </w:r>
      <w:r w:rsidR="0092471E" w:rsidRPr="00F315D4">
        <w:rPr>
          <w:sz w:val="22"/>
          <w:szCs w:val="22"/>
        </w:rPr>
        <w:t xml:space="preserve">Florida agencies </w:t>
      </w:r>
      <w:r w:rsidR="00456B6F" w:rsidRPr="00F315D4">
        <w:rPr>
          <w:sz w:val="22"/>
          <w:szCs w:val="22"/>
        </w:rPr>
        <w:t>who employ</w:t>
      </w:r>
      <w:r w:rsidR="0092471E" w:rsidRPr="00F315D4">
        <w:rPr>
          <w:sz w:val="22"/>
          <w:szCs w:val="22"/>
        </w:rPr>
        <w:t xml:space="preserve"> emergency responders and </w:t>
      </w:r>
      <w:r w:rsidR="00456B6F" w:rsidRPr="00F315D4">
        <w:rPr>
          <w:sz w:val="22"/>
          <w:szCs w:val="22"/>
        </w:rPr>
        <w:t xml:space="preserve">agree to report </w:t>
      </w:r>
      <w:r w:rsidR="004F072E" w:rsidRPr="00F315D4">
        <w:rPr>
          <w:sz w:val="22"/>
          <w:szCs w:val="22"/>
        </w:rPr>
        <w:t>naloxone</w:t>
      </w:r>
      <w:r w:rsidR="00456B6F" w:rsidRPr="00F315D4">
        <w:rPr>
          <w:sz w:val="22"/>
          <w:szCs w:val="22"/>
        </w:rPr>
        <w:t xml:space="preserve"> administrations</w:t>
      </w:r>
      <w:r w:rsidR="00F25392">
        <w:rPr>
          <w:sz w:val="22"/>
          <w:szCs w:val="22"/>
        </w:rPr>
        <w:t xml:space="preserve"> through approved systems,</w:t>
      </w:r>
      <w:r w:rsidR="00456B6F" w:rsidRPr="00F315D4">
        <w:rPr>
          <w:sz w:val="22"/>
          <w:szCs w:val="22"/>
        </w:rPr>
        <w:t xml:space="preserve"> can receive free</w:t>
      </w:r>
      <w:r w:rsidR="007D651F" w:rsidRPr="00F315D4">
        <w:rPr>
          <w:sz w:val="22"/>
          <w:szCs w:val="22"/>
        </w:rPr>
        <w:t xml:space="preserve"> </w:t>
      </w:r>
      <w:r w:rsidR="004F072E" w:rsidRPr="00F315D4">
        <w:rPr>
          <w:sz w:val="22"/>
          <w:szCs w:val="22"/>
        </w:rPr>
        <w:t>naloxone</w:t>
      </w:r>
      <w:r w:rsidR="007D651F" w:rsidRPr="00F315D4">
        <w:rPr>
          <w:sz w:val="22"/>
          <w:szCs w:val="22"/>
        </w:rPr>
        <w:t>.</w:t>
      </w:r>
      <w:r w:rsidR="008525FA" w:rsidRPr="00F315D4">
        <w:rPr>
          <w:sz w:val="22"/>
          <w:szCs w:val="22"/>
        </w:rPr>
        <w:t xml:space="preserve"> </w:t>
      </w:r>
      <w:r w:rsidR="00F25392">
        <w:rPr>
          <w:sz w:val="22"/>
          <w:szCs w:val="22"/>
        </w:rPr>
        <w:t xml:space="preserve">Eligible applicants </w:t>
      </w:r>
      <w:r w:rsidR="008525FA" w:rsidRPr="00F315D4">
        <w:rPr>
          <w:sz w:val="22"/>
          <w:szCs w:val="22"/>
        </w:rPr>
        <w:t xml:space="preserve">can visit </w:t>
      </w:r>
      <w:r w:rsidR="00F25392" w:rsidRPr="00F25392">
        <w:rPr>
          <w:sz w:val="22"/>
          <w:szCs w:val="22"/>
        </w:rPr>
        <w:t>http://www.floridahealth.gov/licensing-and-regulation/ems-system/heros.html</w:t>
      </w:r>
      <w:r w:rsidR="00F25392">
        <w:rPr>
          <w:sz w:val="22"/>
          <w:szCs w:val="22"/>
        </w:rPr>
        <w:t xml:space="preserve"> to </w:t>
      </w:r>
      <w:r w:rsidR="008525FA" w:rsidRPr="00F315D4">
        <w:rPr>
          <w:sz w:val="22"/>
          <w:szCs w:val="22"/>
        </w:rPr>
        <w:t>learn more and</w:t>
      </w:r>
      <w:r w:rsidR="00150511" w:rsidRPr="00F315D4">
        <w:rPr>
          <w:sz w:val="22"/>
          <w:szCs w:val="22"/>
        </w:rPr>
        <w:t xml:space="preserve"> enroll in the program.</w:t>
      </w:r>
      <w:r w:rsidR="007F7145">
        <w:br w:type="page"/>
      </w:r>
    </w:p>
    <w:p w14:paraId="01B08F2B" w14:textId="6C03404C" w:rsidR="007F7145" w:rsidRDefault="007F7145" w:rsidP="00CA2628">
      <w:pPr>
        <w:pStyle w:val="Heading1"/>
      </w:pPr>
      <w:bookmarkStart w:id="30" w:name="_Toc17788960"/>
      <w:r>
        <w:lastRenderedPageBreak/>
        <w:t>REFERENCES</w:t>
      </w:r>
      <w:bookmarkEnd w:id="30"/>
    </w:p>
    <w:p w14:paraId="2CE81C02" w14:textId="618A83D6" w:rsidR="008040A5" w:rsidRPr="008040A5" w:rsidRDefault="007162F7" w:rsidP="008040A5">
      <w:pPr>
        <w:widowControl w:val="0"/>
        <w:autoSpaceDE w:val="0"/>
        <w:autoSpaceDN w:val="0"/>
        <w:adjustRightInd w:val="0"/>
        <w:ind w:left="640" w:hanging="640"/>
        <w:rPr>
          <w:noProof/>
          <w:sz w:val="22"/>
        </w:rPr>
      </w:pPr>
      <w:r w:rsidRPr="001510AE">
        <w:rPr>
          <w:sz w:val="22"/>
          <w:szCs w:val="22"/>
        </w:rPr>
        <w:fldChar w:fldCharType="begin" w:fldLock="1"/>
      </w:r>
      <w:r w:rsidRPr="001510AE">
        <w:rPr>
          <w:sz w:val="22"/>
          <w:szCs w:val="22"/>
        </w:rPr>
        <w:instrText xml:space="preserve">ADDIN Mendeley Bibliography CSL_BIBLIOGRAPHY </w:instrText>
      </w:r>
      <w:r w:rsidRPr="001510AE">
        <w:rPr>
          <w:sz w:val="22"/>
          <w:szCs w:val="22"/>
        </w:rPr>
        <w:fldChar w:fldCharType="separate"/>
      </w:r>
      <w:r w:rsidR="008040A5" w:rsidRPr="008040A5">
        <w:rPr>
          <w:noProof/>
          <w:sz w:val="22"/>
        </w:rPr>
        <w:t xml:space="preserve">1. </w:t>
      </w:r>
      <w:r w:rsidR="008040A5" w:rsidRPr="008040A5">
        <w:rPr>
          <w:noProof/>
          <w:sz w:val="22"/>
        </w:rPr>
        <w:tab/>
        <w:t xml:space="preserve">Volkow ND, Frieden TR, Hyde PS, Cha SS. Medication-Assisted Therapies — Tackling the Opioid-Overdose Epidemic. </w:t>
      </w:r>
      <w:r w:rsidR="008040A5" w:rsidRPr="008040A5">
        <w:rPr>
          <w:i/>
          <w:iCs/>
          <w:noProof/>
          <w:sz w:val="22"/>
        </w:rPr>
        <w:t>N Engl J Med</w:t>
      </w:r>
      <w:r w:rsidR="008040A5" w:rsidRPr="008040A5">
        <w:rPr>
          <w:noProof/>
          <w:sz w:val="22"/>
        </w:rPr>
        <w:t>. 2014;370(22):2063-2066. doi:10.1056/nejmp1402780</w:t>
      </w:r>
      <w:r w:rsidR="008040A5">
        <w:rPr>
          <w:noProof/>
          <w:sz w:val="22"/>
        </w:rPr>
        <w:t>.</w:t>
      </w:r>
    </w:p>
    <w:p w14:paraId="5F875530" w14:textId="19F092FE"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2. </w:t>
      </w:r>
      <w:r w:rsidRPr="008040A5">
        <w:rPr>
          <w:noProof/>
          <w:sz w:val="22"/>
        </w:rPr>
        <w:tab/>
        <w:t xml:space="preserve">Rudd RA, Aleshire N, Zibbell JE, Gladden RM. Increases in Drug and Opioid Overdose Deaths—United States, 2000–2014. </w:t>
      </w:r>
      <w:r w:rsidRPr="008040A5">
        <w:rPr>
          <w:i/>
          <w:iCs/>
          <w:noProof/>
          <w:sz w:val="22"/>
        </w:rPr>
        <w:t>Morb Mortal Wkly Rep</w:t>
      </w:r>
      <w:r w:rsidRPr="008040A5">
        <w:rPr>
          <w:noProof/>
          <w:sz w:val="22"/>
        </w:rPr>
        <w:t>. 2016;64(50):1378-1382. doi:10.1111/ajt.13776</w:t>
      </w:r>
      <w:r>
        <w:rPr>
          <w:noProof/>
          <w:sz w:val="22"/>
        </w:rPr>
        <w:t>.</w:t>
      </w:r>
    </w:p>
    <w:p w14:paraId="65DBF1D2" w14:textId="3D43E37B"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3. </w:t>
      </w:r>
      <w:r w:rsidRPr="008040A5">
        <w:rPr>
          <w:noProof/>
          <w:sz w:val="22"/>
        </w:rPr>
        <w:tab/>
        <w:t xml:space="preserve">Rudd RA, Seth P, David F, Scholl L. Increases in Drug and Opioid-Involved Overdose Deaths — United States, 2010–2015. </w:t>
      </w:r>
      <w:r w:rsidRPr="008040A5">
        <w:rPr>
          <w:i/>
          <w:iCs/>
          <w:noProof/>
          <w:sz w:val="22"/>
        </w:rPr>
        <w:t>Morb Mortal Wkly Rep</w:t>
      </w:r>
      <w:r w:rsidRPr="008040A5">
        <w:rPr>
          <w:noProof/>
          <w:sz w:val="22"/>
        </w:rPr>
        <w:t>. 2016;65(50-51):1445-1452. doi:10.2105/AJPH.2014.302367?journalCode=ajph</w:t>
      </w:r>
      <w:r>
        <w:rPr>
          <w:noProof/>
          <w:sz w:val="22"/>
        </w:rPr>
        <w:t>.</w:t>
      </w:r>
    </w:p>
    <w:p w14:paraId="41D8E7E5"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4. </w:t>
      </w:r>
      <w:r w:rsidRPr="008040A5">
        <w:rPr>
          <w:noProof/>
          <w:sz w:val="22"/>
        </w:rPr>
        <w:tab/>
        <w:t xml:space="preserve">White AG, Birnbaum HG, Mareva MN, et al. Direct Costs of Opioid Abuse in an Insured Population in the United States. </w:t>
      </w:r>
      <w:r w:rsidRPr="008040A5">
        <w:rPr>
          <w:i/>
          <w:iCs/>
          <w:noProof/>
          <w:sz w:val="22"/>
        </w:rPr>
        <w:t>J Manag Care Pharm</w:t>
      </w:r>
      <w:r w:rsidRPr="008040A5">
        <w:rPr>
          <w:noProof/>
          <w:sz w:val="22"/>
        </w:rPr>
        <w:t>. 2005;11(6):469-479.</w:t>
      </w:r>
    </w:p>
    <w:p w14:paraId="39451788"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5. </w:t>
      </w:r>
      <w:r w:rsidRPr="008040A5">
        <w:rPr>
          <w:noProof/>
          <w:sz w:val="22"/>
        </w:rPr>
        <w:tab/>
        <w:t xml:space="preserve">Dunn KM, Saunders KW, Rutter CM, et al. Overdose and prescribed opioids: Associations among chronic non-cancer pain patients. </w:t>
      </w:r>
      <w:r w:rsidRPr="008040A5">
        <w:rPr>
          <w:i/>
          <w:iCs/>
          <w:noProof/>
          <w:sz w:val="22"/>
        </w:rPr>
        <w:t>Ann Intern Med</w:t>
      </w:r>
      <w:r w:rsidRPr="008040A5">
        <w:rPr>
          <w:noProof/>
          <w:sz w:val="22"/>
        </w:rPr>
        <w:t>. 2010;152(2):85-92. doi:10.1059/0003-4819-152-2-201001190-00006.</w:t>
      </w:r>
    </w:p>
    <w:p w14:paraId="2AA47FFE"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6. </w:t>
      </w:r>
      <w:r w:rsidRPr="008040A5">
        <w:rPr>
          <w:noProof/>
          <w:sz w:val="22"/>
        </w:rPr>
        <w:tab/>
        <w:t xml:space="preserve">Bohnert AS, Valenstein M, Bair MJ, et al. Association Between Opioid Prescribing Patterns and Opioid Overdose-Related Deaths. </w:t>
      </w:r>
      <w:r w:rsidRPr="008040A5">
        <w:rPr>
          <w:i/>
          <w:iCs/>
          <w:noProof/>
          <w:sz w:val="22"/>
        </w:rPr>
        <w:t>J Am Med Assoc</w:t>
      </w:r>
      <w:r w:rsidRPr="008040A5">
        <w:rPr>
          <w:noProof/>
          <w:sz w:val="22"/>
        </w:rPr>
        <w:t>. 2011;305(13):1315-1321.</w:t>
      </w:r>
    </w:p>
    <w:p w14:paraId="03CF06F9"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7. </w:t>
      </w:r>
      <w:r w:rsidRPr="008040A5">
        <w:rPr>
          <w:noProof/>
          <w:sz w:val="22"/>
        </w:rPr>
        <w:tab/>
        <w:t xml:space="preserve">Florida Department of Health. </w:t>
      </w:r>
      <w:r w:rsidRPr="008040A5">
        <w:rPr>
          <w:i/>
          <w:iCs/>
          <w:noProof/>
          <w:sz w:val="22"/>
        </w:rPr>
        <w:t>Fatal Opioid Overdose Surveillance: Florida 2017 Q3-Q4</w:t>
      </w:r>
      <w:r w:rsidRPr="008040A5">
        <w:rPr>
          <w:noProof/>
          <w:sz w:val="22"/>
        </w:rPr>
        <w:t>. Tallahassee, FL; 2017. http://www.floridahealth.gov/statistics-and-data/fl-esoos/reports.html.</w:t>
      </w:r>
    </w:p>
    <w:p w14:paraId="384B2DD0" w14:textId="707AAAEA"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8. </w:t>
      </w:r>
      <w:r w:rsidRPr="008040A5">
        <w:rPr>
          <w:noProof/>
          <w:sz w:val="22"/>
        </w:rPr>
        <w:tab/>
        <w:t xml:space="preserve">Centers for Disease Control and Prevention (CDC). </w:t>
      </w:r>
      <w:r w:rsidRPr="008040A5">
        <w:rPr>
          <w:i/>
          <w:iCs/>
          <w:noProof/>
          <w:sz w:val="22"/>
        </w:rPr>
        <w:t>Using Naloxone to Reverse Opioid Overdose in the Workplace: Information for Employers and Workers</w:t>
      </w:r>
      <w:r w:rsidRPr="008040A5">
        <w:rPr>
          <w:noProof/>
          <w:sz w:val="22"/>
        </w:rPr>
        <w:t>.; 2018. doi:https://doi.org/10.26616/NIOSHPUB2019101</w:t>
      </w:r>
      <w:r>
        <w:rPr>
          <w:noProof/>
          <w:sz w:val="22"/>
        </w:rPr>
        <w:t>.</w:t>
      </w:r>
    </w:p>
    <w:p w14:paraId="3729569C"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9. </w:t>
      </w:r>
      <w:r w:rsidRPr="008040A5">
        <w:rPr>
          <w:noProof/>
          <w:sz w:val="22"/>
        </w:rPr>
        <w:tab/>
        <w:t xml:space="preserve">Wheeler E, Davidson PJ, Jones TS, Irwin KS. Community-Based Opioid Overdose Prevention Programs Providing Naloxone — United States, 2010 Drug Overdose Prevention and Education (DOPE) Project, Harm Reduction Coalition, Oakland. </w:t>
      </w:r>
      <w:r w:rsidRPr="008040A5">
        <w:rPr>
          <w:i/>
          <w:iCs/>
          <w:noProof/>
          <w:sz w:val="22"/>
        </w:rPr>
        <w:t>MMWR Morb Mortal Wkly Rep</w:t>
      </w:r>
      <w:r w:rsidRPr="008040A5">
        <w:rPr>
          <w:noProof/>
          <w:sz w:val="22"/>
        </w:rPr>
        <w:t>. 2012;61(6):101-105.</w:t>
      </w:r>
    </w:p>
    <w:p w14:paraId="47EC748A" w14:textId="2CFBCCEB"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10. </w:t>
      </w:r>
      <w:r w:rsidRPr="008040A5">
        <w:rPr>
          <w:noProof/>
          <w:sz w:val="22"/>
        </w:rPr>
        <w:tab/>
        <w:t xml:space="preserve">Walley AY, Xuan Z, Hackman HH, et al. Opioid overdose rates and implementation of overdose education and nasal naloxone distribution in Massachusetts: Interrupted time series analysis. </w:t>
      </w:r>
      <w:r w:rsidRPr="008040A5">
        <w:rPr>
          <w:i/>
          <w:iCs/>
          <w:noProof/>
          <w:sz w:val="22"/>
        </w:rPr>
        <w:t>BMJ</w:t>
      </w:r>
      <w:r w:rsidRPr="008040A5">
        <w:rPr>
          <w:noProof/>
          <w:sz w:val="22"/>
        </w:rPr>
        <w:t>. 2013;346(f174):1-13. doi:10.1136/bmj.f174</w:t>
      </w:r>
      <w:r>
        <w:rPr>
          <w:noProof/>
          <w:sz w:val="22"/>
        </w:rPr>
        <w:t>.</w:t>
      </w:r>
    </w:p>
    <w:p w14:paraId="553FB21D" w14:textId="52F11B3A"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11. </w:t>
      </w:r>
      <w:r w:rsidRPr="008040A5">
        <w:rPr>
          <w:noProof/>
          <w:sz w:val="22"/>
        </w:rPr>
        <w:tab/>
        <w:t xml:space="preserve">Coffin PO, Sullivan SD. Cost-Effectiveness of Distributing Naloxone to Heroin Users for Lay Overdose Reversal. </w:t>
      </w:r>
      <w:r w:rsidRPr="008040A5">
        <w:rPr>
          <w:i/>
          <w:iCs/>
          <w:noProof/>
          <w:sz w:val="22"/>
        </w:rPr>
        <w:t>Ann Intern Med</w:t>
      </w:r>
      <w:r w:rsidRPr="008040A5">
        <w:rPr>
          <w:noProof/>
          <w:sz w:val="22"/>
        </w:rPr>
        <w:t>. 2013;158(1):1-9. doi:10.3111/13696998.2013.811080</w:t>
      </w:r>
      <w:r>
        <w:rPr>
          <w:noProof/>
          <w:sz w:val="22"/>
        </w:rPr>
        <w:t>.</w:t>
      </w:r>
    </w:p>
    <w:p w14:paraId="07A0F687" w14:textId="06AE6155"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12. </w:t>
      </w:r>
      <w:r w:rsidRPr="008040A5">
        <w:rPr>
          <w:noProof/>
          <w:sz w:val="22"/>
        </w:rPr>
        <w:tab/>
        <w:t xml:space="preserve">Clark AK, Wilder CM, Winstanley EL. A Systematic Review of Community Opioid Overdose Prevention and Naloxone Distribution Programs. </w:t>
      </w:r>
      <w:r w:rsidRPr="008040A5">
        <w:rPr>
          <w:i/>
          <w:iCs/>
          <w:noProof/>
          <w:sz w:val="22"/>
        </w:rPr>
        <w:t>J Addict Med</w:t>
      </w:r>
      <w:r w:rsidRPr="008040A5">
        <w:rPr>
          <w:noProof/>
          <w:sz w:val="22"/>
        </w:rPr>
        <w:t>. 2014;8(3):153-163. doi:10.1097/ADM.0000000000000034</w:t>
      </w:r>
      <w:r>
        <w:rPr>
          <w:noProof/>
          <w:sz w:val="22"/>
        </w:rPr>
        <w:t>.</w:t>
      </w:r>
    </w:p>
    <w:p w14:paraId="451E536A" w14:textId="6AD8A483"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13. </w:t>
      </w:r>
      <w:r w:rsidRPr="008040A5">
        <w:rPr>
          <w:noProof/>
          <w:sz w:val="22"/>
        </w:rPr>
        <w:tab/>
        <w:t xml:space="preserve">Doyon S, Aks SE, Schaeffer S. Expanding Access to Naloxone in the United States. </w:t>
      </w:r>
      <w:r w:rsidRPr="008040A5">
        <w:rPr>
          <w:i/>
          <w:iCs/>
          <w:noProof/>
          <w:sz w:val="22"/>
        </w:rPr>
        <w:t>J Med Toxicol</w:t>
      </w:r>
      <w:r w:rsidRPr="008040A5">
        <w:rPr>
          <w:noProof/>
          <w:sz w:val="22"/>
        </w:rPr>
        <w:t>. 2014;10(4):431-434. doi:10.3109/15563650.2014.968657</w:t>
      </w:r>
      <w:r>
        <w:rPr>
          <w:noProof/>
          <w:sz w:val="22"/>
        </w:rPr>
        <w:t>.</w:t>
      </w:r>
    </w:p>
    <w:p w14:paraId="3772D017" w14:textId="142C1CFE"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14. </w:t>
      </w:r>
      <w:r w:rsidRPr="008040A5">
        <w:rPr>
          <w:noProof/>
          <w:sz w:val="22"/>
        </w:rPr>
        <w:tab/>
        <w:t xml:space="preserve">World Health Organization. </w:t>
      </w:r>
      <w:r w:rsidRPr="008040A5">
        <w:rPr>
          <w:i/>
          <w:iCs/>
          <w:noProof/>
          <w:sz w:val="22"/>
        </w:rPr>
        <w:t>Community Management of Opioid Overdose</w:t>
      </w:r>
      <w:r w:rsidRPr="008040A5">
        <w:rPr>
          <w:noProof/>
          <w:sz w:val="22"/>
        </w:rPr>
        <w:t>. Geneva, Switzerland; 2014. doi:10.4324/9781315775425</w:t>
      </w:r>
      <w:r>
        <w:rPr>
          <w:noProof/>
          <w:sz w:val="22"/>
        </w:rPr>
        <w:t>.</w:t>
      </w:r>
    </w:p>
    <w:p w14:paraId="4AA5E03E"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lastRenderedPageBreak/>
        <w:t xml:space="preserve">15. </w:t>
      </w:r>
      <w:r w:rsidRPr="008040A5">
        <w:rPr>
          <w:noProof/>
          <w:sz w:val="22"/>
        </w:rPr>
        <w:tab/>
        <w:t xml:space="preserve">Wheeler E, Jones TS, Gilbert MK, Davidson PJ. Opioid Overdose Prevention Programs Providing Naloxone to Laypersons — United States, 2014. </w:t>
      </w:r>
      <w:r w:rsidRPr="008040A5">
        <w:rPr>
          <w:i/>
          <w:iCs/>
          <w:noProof/>
          <w:sz w:val="22"/>
        </w:rPr>
        <w:t>Morb Mortal Wkly Rep</w:t>
      </w:r>
      <w:r w:rsidRPr="008040A5">
        <w:rPr>
          <w:noProof/>
          <w:sz w:val="22"/>
        </w:rPr>
        <w:t>. 2015;64(23):631-635. http://www.ncbi.nlm.nih.gov/pubmed/26086633%0Ahttp://www.pubmedcentral.nih.gov/articlerender.fcgi?artid=PMC4584734.</w:t>
      </w:r>
    </w:p>
    <w:p w14:paraId="589874DA"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16. </w:t>
      </w:r>
      <w:r w:rsidRPr="008040A5">
        <w:rPr>
          <w:noProof/>
          <w:sz w:val="22"/>
        </w:rPr>
        <w:tab/>
        <w:t xml:space="preserve">U.S. Census Bureau. </w:t>
      </w:r>
      <w:r w:rsidRPr="008040A5">
        <w:rPr>
          <w:i/>
          <w:iCs/>
          <w:noProof/>
          <w:sz w:val="22"/>
        </w:rPr>
        <w:t>Understanding and Using ACS Single-Year and Multiyear Estimates</w:t>
      </w:r>
      <w:r w:rsidRPr="008040A5">
        <w:rPr>
          <w:noProof/>
          <w:sz w:val="22"/>
        </w:rPr>
        <w:t>.; 2018. https://www.census.gov/content/dam/Census/library/publications/2018/acs/acs_general_handbook_2018_ch03.pdf.</w:t>
      </w:r>
    </w:p>
    <w:p w14:paraId="6BC7B03A"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17. </w:t>
      </w:r>
      <w:r w:rsidRPr="008040A5">
        <w:rPr>
          <w:noProof/>
          <w:sz w:val="22"/>
        </w:rPr>
        <w:tab/>
        <w:t>National Institutes of Health. Racial and Ethnic Categories and Definitions for NIH Diversity Programs and for Other Reporting Purposes. NOT-OD-15-089. https://grants.nih.gov/grants/guide/notice-files/NOT-OD-15-089.html. Published 2015. Accessed August 13, 2019.</w:t>
      </w:r>
    </w:p>
    <w:p w14:paraId="66C08386"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18. </w:t>
      </w:r>
      <w:r w:rsidRPr="008040A5">
        <w:rPr>
          <w:noProof/>
          <w:sz w:val="22"/>
        </w:rPr>
        <w:tab/>
        <w:t xml:space="preserve">Buescher PA. </w:t>
      </w:r>
      <w:r w:rsidRPr="008040A5">
        <w:rPr>
          <w:i/>
          <w:iCs/>
          <w:noProof/>
          <w:sz w:val="22"/>
        </w:rPr>
        <w:t>Statistical Primer: Age-Adjusted Death Rates</w:t>
      </w:r>
      <w:r w:rsidRPr="008040A5">
        <w:rPr>
          <w:noProof/>
          <w:sz w:val="22"/>
        </w:rPr>
        <w:t>. Raleigh, NC; 2010. https://schs.dph.ncdhhs.gov/schs/pdf/primer13_2.pdf.</w:t>
      </w:r>
    </w:p>
    <w:p w14:paraId="02829F99"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19. </w:t>
      </w:r>
      <w:r w:rsidRPr="008040A5">
        <w:rPr>
          <w:noProof/>
          <w:sz w:val="22"/>
        </w:rPr>
        <w:tab/>
        <w:t xml:space="preserve">Ullman MD. </w:t>
      </w:r>
      <w:r w:rsidRPr="008040A5">
        <w:rPr>
          <w:i/>
          <w:iCs/>
          <w:noProof/>
          <w:sz w:val="22"/>
        </w:rPr>
        <w:t>State of Florida Report: 2016 Homeless Census Estimates and Funding Need to End Chronic Homelessness</w:t>
      </w:r>
      <w:r w:rsidRPr="008040A5">
        <w:rPr>
          <w:noProof/>
          <w:sz w:val="22"/>
        </w:rPr>
        <w:t>.; 2016. http://www.nhipdata.org/local/upload/file/Florida Homeless Report 2016  09_30_16 - final report.pdf.</w:t>
      </w:r>
    </w:p>
    <w:p w14:paraId="683163FB" w14:textId="77777777" w:rsidR="008040A5" w:rsidRPr="008040A5" w:rsidRDefault="008040A5" w:rsidP="008040A5">
      <w:pPr>
        <w:widowControl w:val="0"/>
        <w:autoSpaceDE w:val="0"/>
        <w:autoSpaceDN w:val="0"/>
        <w:adjustRightInd w:val="0"/>
        <w:ind w:left="640" w:hanging="640"/>
        <w:rPr>
          <w:noProof/>
          <w:sz w:val="22"/>
        </w:rPr>
      </w:pPr>
      <w:r w:rsidRPr="008040A5">
        <w:rPr>
          <w:noProof/>
          <w:sz w:val="22"/>
        </w:rPr>
        <w:t xml:space="preserve">20. </w:t>
      </w:r>
      <w:r w:rsidRPr="008040A5">
        <w:rPr>
          <w:noProof/>
          <w:sz w:val="22"/>
        </w:rPr>
        <w:tab/>
        <w:t>Kaiser Family Foundation. Opioid Overdose Death Rates and All Drug Overdose Death Rates Per 100,000 Population (Age-Adjusted). State Health Facts. https://www.kff.org/other/state-indicator/opioid-overdose-death-rates/?currentTimeframe=0&amp;sortModel=%7B%22colId%22:%22Location%22,%22sort%22:%22asc%22%7D. Published 217AD. Accessed August 19, 2019.</w:t>
      </w:r>
    </w:p>
    <w:p w14:paraId="0AE1050D" w14:textId="43C4C622" w:rsidR="00455738" w:rsidRDefault="007162F7" w:rsidP="00A33DD2">
      <w:r w:rsidRPr="001510AE">
        <w:rPr>
          <w:sz w:val="22"/>
          <w:szCs w:val="22"/>
        </w:rPr>
        <w:fldChar w:fldCharType="end"/>
      </w:r>
    </w:p>
    <w:p w14:paraId="002F8ACF" w14:textId="77777777" w:rsidR="00455738" w:rsidRDefault="00455738" w:rsidP="00A33DD2"/>
    <w:p w14:paraId="433BA4A6" w14:textId="6E00B2D6" w:rsidR="00F53417" w:rsidRPr="00B1508A" w:rsidRDefault="00F53417" w:rsidP="001A756E">
      <w:pPr>
        <w:shd w:val="clear" w:color="auto" w:fill="auto"/>
        <w:tabs>
          <w:tab w:val="clear" w:pos="720"/>
          <w:tab w:val="clear" w:pos="9360"/>
        </w:tabs>
        <w:spacing w:after="160" w:line="259" w:lineRule="auto"/>
      </w:pPr>
    </w:p>
    <w:sectPr w:rsidR="00F53417" w:rsidRPr="00B1508A" w:rsidSect="00E17A54">
      <w:footerReference w:type="default" r:id="rId20"/>
      <w:footerReference w:type="first" r:id="rId21"/>
      <w:pgSz w:w="12240" w:h="15840"/>
      <w:pgMar w:top="1080" w:right="1080" w:bottom="1080" w:left="108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5EF35" w14:textId="77777777" w:rsidR="009A716C" w:rsidRDefault="009A716C" w:rsidP="00A33DD2">
      <w:r>
        <w:separator/>
      </w:r>
    </w:p>
  </w:endnote>
  <w:endnote w:type="continuationSeparator" w:id="0">
    <w:p w14:paraId="532A84F0" w14:textId="77777777" w:rsidR="009A716C" w:rsidRDefault="009A716C" w:rsidP="00A3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Regular">
    <w:altName w:val="Wingdings"/>
    <w:panose1 w:val="00000000000000000000"/>
    <w:charset w:val="00"/>
    <w:family w:val="roman"/>
    <w:notTrueType/>
    <w:pitch w:val="default"/>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181291"/>
      <w:docPartObj>
        <w:docPartGallery w:val="Page Numbers (Bottom of Page)"/>
        <w:docPartUnique/>
      </w:docPartObj>
    </w:sdtPr>
    <w:sdtEndPr>
      <w:rPr>
        <w:noProof/>
      </w:rPr>
    </w:sdtEndPr>
    <w:sdtContent>
      <w:p w14:paraId="2D34CE64" w14:textId="41888A6A" w:rsidR="009A716C" w:rsidRDefault="009A71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45ADDE" w14:textId="77777777" w:rsidR="009A716C" w:rsidRDefault="009A7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CF3" w14:textId="38F37D6F" w:rsidR="009A716C" w:rsidRDefault="009A716C" w:rsidP="0009686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24880"/>
      <w:docPartObj>
        <w:docPartGallery w:val="Page Numbers (Bottom of Page)"/>
        <w:docPartUnique/>
      </w:docPartObj>
    </w:sdtPr>
    <w:sdtEndPr>
      <w:rPr>
        <w:noProof/>
        <w:sz w:val="22"/>
        <w:szCs w:val="22"/>
      </w:rPr>
    </w:sdtEndPr>
    <w:sdtContent>
      <w:p w14:paraId="52F33BCC" w14:textId="25A35F77" w:rsidR="009A716C" w:rsidRPr="00E17A54" w:rsidRDefault="009A716C">
        <w:pPr>
          <w:pStyle w:val="Footer"/>
          <w:jc w:val="right"/>
          <w:rPr>
            <w:sz w:val="22"/>
            <w:szCs w:val="22"/>
          </w:rPr>
        </w:pPr>
        <w:r w:rsidRPr="00E17A54">
          <w:rPr>
            <w:sz w:val="22"/>
            <w:szCs w:val="22"/>
          </w:rPr>
          <w:fldChar w:fldCharType="begin"/>
        </w:r>
        <w:r w:rsidRPr="00E17A54">
          <w:rPr>
            <w:sz w:val="22"/>
            <w:szCs w:val="22"/>
          </w:rPr>
          <w:instrText xml:space="preserve"> PAGE   \* MERGEFORMAT </w:instrText>
        </w:r>
        <w:r w:rsidRPr="00E17A54">
          <w:rPr>
            <w:sz w:val="22"/>
            <w:szCs w:val="22"/>
          </w:rPr>
          <w:fldChar w:fldCharType="separate"/>
        </w:r>
        <w:r w:rsidRPr="00E17A54">
          <w:rPr>
            <w:noProof/>
            <w:sz w:val="22"/>
            <w:szCs w:val="22"/>
          </w:rPr>
          <w:t>2</w:t>
        </w:r>
        <w:r w:rsidRPr="00E17A54">
          <w:rPr>
            <w:noProof/>
            <w:sz w:val="22"/>
            <w:szCs w:val="22"/>
          </w:rPr>
          <w:fldChar w:fldCharType="end"/>
        </w:r>
      </w:p>
    </w:sdtContent>
  </w:sdt>
  <w:p w14:paraId="7E425CE8" w14:textId="77777777" w:rsidR="009A716C" w:rsidRDefault="009A71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81032"/>
      <w:docPartObj>
        <w:docPartGallery w:val="Page Numbers (Bottom of Page)"/>
        <w:docPartUnique/>
      </w:docPartObj>
    </w:sdtPr>
    <w:sdtEndPr>
      <w:rPr>
        <w:noProof/>
      </w:rPr>
    </w:sdtEndPr>
    <w:sdtContent>
      <w:p w14:paraId="55200194" w14:textId="6393D423" w:rsidR="009A716C" w:rsidRDefault="009A71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2A2AA1" w14:textId="77777777" w:rsidR="009A716C" w:rsidRDefault="009A716C" w:rsidP="000968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D4AC" w14:textId="77777777" w:rsidR="009A716C" w:rsidRDefault="009A716C" w:rsidP="00A33DD2">
      <w:r>
        <w:separator/>
      </w:r>
    </w:p>
  </w:footnote>
  <w:footnote w:type="continuationSeparator" w:id="0">
    <w:p w14:paraId="385DA507" w14:textId="77777777" w:rsidR="009A716C" w:rsidRDefault="009A716C" w:rsidP="00A3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C5"/>
    <w:multiLevelType w:val="multilevel"/>
    <w:tmpl w:val="227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C31CE"/>
    <w:multiLevelType w:val="hybridMultilevel"/>
    <w:tmpl w:val="6246ADF2"/>
    <w:lvl w:ilvl="0" w:tplc="D038A070">
      <w:start w:val="1"/>
      <w:numFmt w:val="bullet"/>
      <w:lvlText w:val=""/>
      <w:lvlJc w:val="left"/>
      <w:pPr>
        <w:ind w:left="720" w:hanging="360"/>
      </w:pPr>
      <w:rPr>
        <w:rFonts w:ascii="Symbol" w:hAnsi="Symbol" w:hint="default"/>
        <w:color w:val="F78E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13A92"/>
    <w:multiLevelType w:val="hybridMultilevel"/>
    <w:tmpl w:val="5CE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17B88"/>
    <w:multiLevelType w:val="hybridMultilevel"/>
    <w:tmpl w:val="ADB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E3F57"/>
    <w:multiLevelType w:val="hybridMultilevel"/>
    <w:tmpl w:val="5B0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91221"/>
    <w:multiLevelType w:val="hybridMultilevel"/>
    <w:tmpl w:val="5982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23183"/>
    <w:multiLevelType w:val="multilevel"/>
    <w:tmpl w:val="6FEE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60B63"/>
    <w:multiLevelType w:val="hybridMultilevel"/>
    <w:tmpl w:val="A21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82D83"/>
    <w:multiLevelType w:val="hybridMultilevel"/>
    <w:tmpl w:val="FBE2A176"/>
    <w:lvl w:ilvl="0" w:tplc="EA22B5FE">
      <w:start w:val="1"/>
      <w:numFmt w:val="bullet"/>
      <w:lvlText w:val=""/>
      <w:lvlJc w:val="left"/>
      <w:pPr>
        <w:ind w:left="720" w:hanging="360"/>
      </w:pPr>
      <w:rPr>
        <w:rFonts w:ascii="Symbol" w:hAnsi="Symbol" w:hint="default"/>
        <w:color w:val="F78E1E"/>
      </w:rPr>
    </w:lvl>
    <w:lvl w:ilvl="1" w:tplc="EEA26B44">
      <w:start w:val="1"/>
      <w:numFmt w:val="bullet"/>
      <w:lvlText w:val=""/>
      <w:lvlJc w:val="left"/>
      <w:pPr>
        <w:ind w:left="1440" w:hanging="360"/>
      </w:pPr>
      <w:rPr>
        <w:rFonts w:ascii="Symbol" w:hAnsi="Symbol" w:hint="default"/>
        <w:color w:val="F78E1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A68C7"/>
    <w:multiLevelType w:val="hybridMultilevel"/>
    <w:tmpl w:val="B0F2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C6799"/>
    <w:multiLevelType w:val="hybridMultilevel"/>
    <w:tmpl w:val="070CAF30"/>
    <w:lvl w:ilvl="0" w:tplc="3C9A465E">
      <w:start w:val="1"/>
      <w:numFmt w:val="bullet"/>
      <w:lvlText w:val=""/>
      <w:lvlJc w:val="left"/>
      <w:pPr>
        <w:ind w:left="720" w:hanging="360"/>
      </w:pPr>
      <w:rPr>
        <w:rFonts w:ascii="Symbol" w:hAnsi="Symbol" w:hint="default"/>
        <w:color w:val="F78E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C2F01"/>
    <w:multiLevelType w:val="hybridMultilevel"/>
    <w:tmpl w:val="D25E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F3C63"/>
    <w:multiLevelType w:val="hybridMultilevel"/>
    <w:tmpl w:val="E42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95A5C"/>
    <w:multiLevelType w:val="hybridMultilevel"/>
    <w:tmpl w:val="AB4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30C05"/>
    <w:multiLevelType w:val="multilevel"/>
    <w:tmpl w:val="BB36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382BA2"/>
    <w:multiLevelType w:val="multilevel"/>
    <w:tmpl w:val="33BE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
  </w:num>
  <w:num w:numId="4">
    <w:abstractNumId w:val="10"/>
  </w:num>
  <w:num w:numId="5">
    <w:abstractNumId w:val="15"/>
  </w:num>
  <w:num w:numId="6">
    <w:abstractNumId w:val="0"/>
  </w:num>
  <w:num w:numId="7">
    <w:abstractNumId w:val="6"/>
  </w:num>
  <w:num w:numId="8">
    <w:abstractNumId w:val="14"/>
  </w:num>
  <w:num w:numId="9">
    <w:abstractNumId w:val="5"/>
  </w:num>
  <w:num w:numId="10">
    <w:abstractNumId w:val="12"/>
  </w:num>
  <w:num w:numId="11">
    <w:abstractNumId w:val="9"/>
  </w:num>
  <w:num w:numId="12">
    <w:abstractNumId w:val="4"/>
  </w:num>
  <w:num w:numId="13">
    <w:abstractNumId w:val="11"/>
  </w:num>
  <w:num w:numId="14">
    <w:abstractNumId w:val="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18433">
      <o:colormru v:ext="edit" colors="#bbd5dc,#fff7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sjQzMzY2NDQ1tDBT0lEKTi0uzszPAykwMq8FAL9gshYtAAAA"/>
  </w:docVars>
  <w:rsids>
    <w:rsidRoot w:val="009947CA"/>
    <w:rsid w:val="00000CF8"/>
    <w:rsid w:val="00000F7F"/>
    <w:rsid w:val="0000191A"/>
    <w:rsid w:val="000028C7"/>
    <w:rsid w:val="00002ED1"/>
    <w:rsid w:val="00003663"/>
    <w:rsid w:val="00003A30"/>
    <w:rsid w:val="00004278"/>
    <w:rsid w:val="000051F6"/>
    <w:rsid w:val="00005506"/>
    <w:rsid w:val="00007564"/>
    <w:rsid w:val="00010467"/>
    <w:rsid w:val="0001114E"/>
    <w:rsid w:val="00011786"/>
    <w:rsid w:val="00011CEE"/>
    <w:rsid w:val="00015412"/>
    <w:rsid w:val="000162E9"/>
    <w:rsid w:val="00016305"/>
    <w:rsid w:val="000169A2"/>
    <w:rsid w:val="00016F81"/>
    <w:rsid w:val="000206D6"/>
    <w:rsid w:val="000218FB"/>
    <w:rsid w:val="0002294E"/>
    <w:rsid w:val="000229F6"/>
    <w:rsid w:val="000236A8"/>
    <w:rsid w:val="000239CF"/>
    <w:rsid w:val="00024921"/>
    <w:rsid w:val="00024BD3"/>
    <w:rsid w:val="000266BA"/>
    <w:rsid w:val="0003392D"/>
    <w:rsid w:val="00034757"/>
    <w:rsid w:val="000362A7"/>
    <w:rsid w:val="00036596"/>
    <w:rsid w:val="00037178"/>
    <w:rsid w:val="00042479"/>
    <w:rsid w:val="00042FD2"/>
    <w:rsid w:val="00043A53"/>
    <w:rsid w:val="000447A3"/>
    <w:rsid w:val="0004722E"/>
    <w:rsid w:val="00047586"/>
    <w:rsid w:val="0005003C"/>
    <w:rsid w:val="0005107A"/>
    <w:rsid w:val="0005120A"/>
    <w:rsid w:val="00051340"/>
    <w:rsid w:val="00052B98"/>
    <w:rsid w:val="00053228"/>
    <w:rsid w:val="000537FA"/>
    <w:rsid w:val="00053869"/>
    <w:rsid w:val="00055487"/>
    <w:rsid w:val="00056C81"/>
    <w:rsid w:val="00056E95"/>
    <w:rsid w:val="00057153"/>
    <w:rsid w:val="0005744D"/>
    <w:rsid w:val="00057C3B"/>
    <w:rsid w:val="000601BE"/>
    <w:rsid w:val="00060DCC"/>
    <w:rsid w:val="0006112D"/>
    <w:rsid w:val="0006305D"/>
    <w:rsid w:val="000630AA"/>
    <w:rsid w:val="00063717"/>
    <w:rsid w:val="00063D97"/>
    <w:rsid w:val="00065C84"/>
    <w:rsid w:val="00066D0F"/>
    <w:rsid w:val="00066E44"/>
    <w:rsid w:val="00067E47"/>
    <w:rsid w:val="00067E70"/>
    <w:rsid w:val="000710A6"/>
    <w:rsid w:val="000719B0"/>
    <w:rsid w:val="00071A18"/>
    <w:rsid w:val="00071B6B"/>
    <w:rsid w:val="00071D5A"/>
    <w:rsid w:val="0007213E"/>
    <w:rsid w:val="000723E3"/>
    <w:rsid w:val="00072C8E"/>
    <w:rsid w:val="00072D41"/>
    <w:rsid w:val="000750FF"/>
    <w:rsid w:val="00075700"/>
    <w:rsid w:val="000761C9"/>
    <w:rsid w:val="00077127"/>
    <w:rsid w:val="00080473"/>
    <w:rsid w:val="000808EF"/>
    <w:rsid w:val="00080B4F"/>
    <w:rsid w:val="00080F42"/>
    <w:rsid w:val="000810BD"/>
    <w:rsid w:val="00082FC7"/>
    <w:rsid w:val="000839B3"/>
    <w:rsid w:val="000840B0"/>
    <w:rsid w:val="000853EF"/>
    <w:rsid w:val="00085EC7"/>
    <w:rsid w:val="00085FCD"/>
    <w:rsid w:val="00086770"/>
    <w:rsid w:val="0009202D"/>
    <w:rsid w:val="000925B9"/>
    <w:rsid w:val="000925D8"/>
    <w:rsid w:val="00093965"/>
    <w:rsid w:val="000947A6"/>
    <w:rsid w:val="000951AF"/>
    <w:rsid w:val="000951B3"/>
    <w:rsid w:val="00095265"/>
    <w:rsid w:val="00095F13"/>
    <w:rsid w:val="00096363"/>
    <w:rsid w:val="00096865"/>
    <w:rsid w:val="0009781A"/>
    <w:rsid w:val="00097EBF"/>
    <w:rsid w:val="000A0251"/>
    <w:rsid w:val="000A033C"/>
    <w:rsid w:val="000A10A6"/>
    <w:rsid w:val="000A10AB"/>
    <w:rsid w:val="000A1A8E"/>
    <w:rsid w:val="000A76C9"/>
    <w:rsid w:val="000A7B61"/>
    <w:rsid w:val="000A7F0D"/>
    <w:rsid w:val="000B39ED"/>
    <w:rsid w:val="000B3CE3"/>
    <w:rsid w:val="000B502D"/>
    <w:rsid w:val="000B5756"/>
    <w:rsid w:val="000B7D08"/>
    <w:rsid w:val="000C019E"/>
    <w:rsid w:val="000C0389"/>
    <w:rsid w:val="000C04AE"/>
    <w:rsid w:val="000C1809"/>
    <w:rsid w:val="000C1B75"/>
    <w:rsid w:val="000C3C28"/>
    <w:rsid w:val="000C4591"/>
    <w:rsid w:val="000C497B"/>
    <w:rsid w:val="000C4C5F"/>
    <w:rsid w:val="000C4DD4"/>
    <w:rsid w:val="000C622D"/>
    <w:rsid w:val="000C7E40"/>
    <w:rsid w:val="000D07FD"/>
    <w:rsid w:val="000D08CF"/>
    <w:rsid w:val="000D1A16"/>
    <w:rsid w:val="000D2756"/>
    <w:rsid w:val="000D292A"/>
    <w:rsid w:val="000D3DDD"/>
    <w:rsid w:val="000D4392"/>
    <w:rsid w:val="000D4735"/>
    <w:rsid w:val="000D49A9"/>
    <w:rsid w:val="000D4D15"/>
    <w:rsid w:val="000D6CAA"/>
    <w:rsid w:val="000D7150"/>
    <w:rsid w:val="000E11DE"/>
    <w:rsid w:val="000E1C89"/>
    <w:rsid w:val="000E1D95"/>
    <w:rsid w:val="000E268B"/>
    <w:rsid w:val="000E2805"/>
    <w:rsid w:val="000E2852"/>
    <w:rsid w:val="000E47DE"/>
    <w:rsid w:val="000E5776"/>
    <w:rsid w:val="000E5AC9"/>
    <w:rsid w:val="000E5D47"/>
    <w:rsid w:val="000E62EE"/>
    <w:rsid w:val="000E630A"/>
    <w:rsid w:val="000E68BC"/>
    <w:rsid w:val="000E76C2"/>
    <w:rsid w:val="000F0384"/>
    <w:rsid w:val="000F0E59"/>
    <w:rsid w:val="000F1148"/>
    <w:rsid w:val="000F126E"/>
    <w:rsid w:val="000F17D6"/>
    <w:rsid w:val="000F1C89"/>
    <w:rsid w:val="000F30F8"/>
    <w:rsid w:val="000F3996"/>
    <w:rsid w:val="000F5731"/>
    <w:rsid w:val="00100AC0"/>
    <w:rsid w:val="00102396"/>
    <w:rsid w:val="00102C61"/>
    <w:rsid w:val="001036BD"/>
    <w:rsid w:val="001069E4"/>
    <w:rsid w:val="00107320"/>
    <w:rsid w:val="00107854"/>
    <w:rsid w:val="00110D69"/>
    <w:rsid w:val="001110F2"/>
    <w:rsid w:val="00111B86"/>
    <w:rsid w:val="00112685"/>
    <w:rsid w:val="00112A5C"/>
    <w:rsid w:val="00113626"/>
    <w:rsid w:val="001144CC"/>
    <w:rsid w:val="00114A05"/>
    <w:rsid w:val="0011541F"/>
    <w:rsid w:val="001163E1"/>
    <w:rsid w:val="00116892"/>
    <w:rsid w:val="001169A9"/>
    <w:rsid w:val="0012138C"/>
    <w:rsid w:val="00121A27"/>
    <w:rsid w:val="001229BC"/>
    <w:rsid w:val="00122FF3"/>
    <w:rsid w:val="00123329"/>
    <w:rsid w:val="00123795"/>
    <w:rsid w:val="00123ADC"/>
    <w:rsid w:val="00126035"/>
    <w:rsid w:val="0012636D"/>
    <w:rsid w:val="001312B1"/>
    <w:rsid w:val="0013288E"/>
    <w:rsid w:val="00134D73"/>
    <w:rsid w:val="0013575D"/>
    <w:rsid w:val="00136959"/>
    <w:rsid w:val="00137A0A"/>
    <w:rsid w:val="00140559"/>
    <w:rsid w:val="00140735"/>
    <w:rsid w:val="00141D70"/>
    <w:rsid w:val="00142085"/>
    <w:rsid w:val="00142965"/>
    <w:rsid w:val="0014323B"/>
    <w:rsid w:val="00144295"/>
    <w:rsid w:val="00144A38"/>
    <w:rsid w:val="0014611C"/>
    <w:rsid w:val="00147235"/>
    <w:rsid w:val="00147D4C"/>
    <w:rsid w:val="001503FC"/>
    <w:rsid w:val="00150416"/>
    <w:rsid w:val="00150511"/>
    <w:rsid w:val="001510AE"/>
    <w:rsid w:val="001516CE"/>
    <w:rsid w:val="00151A94"/>
    <w:rsid w:val="00151E18"/>
    <w:rsid w:val="00151F1A"/>
    <w:rsid w:val="00152E38"/>
    <w:rsid w:val="00153B36"/>
    <w:rsid w:val="00155A6D"/>
    <w:rsid w:val="00155C8A"/>
    <w:rsid w:val="0015634D"/>
    <w:rsid w:val="001565A3"/>
    <w:rsid w:val="001617E1"/>
    <w:rsid w:val="001624E9"/>
    <w:rsid w:val="00163FAE"/>
    <w:rsid w:val="00166DF9"/>
    <w:rsid w:val="00167341"/>
    <w:rsid w:val="001707B5"/>
    <w:rsid w:val="001708EB"/>
    <w:rsid w:val="0017119D"/>
    <w:rsid w:val="0017270C"/>
    <w:rsid w:val="00172882"/>
    <w:rsid w:val="001747C8"/>
    <w:rsid w:val="00176545"/>
    <w:rsid w:val="001802A9"/>
    <w:rsid w:val="001814B0"/>
    <w:rsid w:val="00182B84"/>
    <w:rsid w:val="00183638"/>
    <w:rsid w:val="00183A2C"/>
    <w:rsid w:val="00185B53"/>
    <w:rsid w:val="00186139"/>
    <w:rsid w:val="00187B81"/>
    <w:rsid w:val="0019089B"/>
    <w:rsid w:val="00190FD3"/>
    <w:rsid w:val="0019374E"/>
    <w:rsid w:val="00193969"/>
    <w:rsid w:val="00194FD9"/>
    <w:rsid w:val="00197AE3"/>
    <w:rsid w:val="00197F5F"/>
    <w:rsid w:val="001A18EF"/>
    <w:rsid w:val="001A2404"/>
    <w:rsid w:val="001A2EC3"/>
    <w:rsid w:val="001A3A13"/>
    <w:rsid w:val="001A440B"/>
    <w:rsid w:val="001A4ECA"/>
    <w:rsid w:val="001A6283"/>
    <w:rsid w:val="001A6852"/>
    <w:rsid w:val="001A7036"/>
    <w:rsid w:val="001A756E"/>
    <w:rsid w:val="001B1C89"/>
    <w:rsid w:val="001B2AE3"/>
    <w:rsid w:val="001B499C"/>
    <w:rsid w:val="001B6246"/>
    <w:rsid w:val="001B647C"/>
    <w:rsid w:val="001B74E7"/>
    <w:rsid w:val="001B7E0E"/>
    <w:rsid w:val="001C0172"/>
    <w:rsid w:val="001C0EB7"/>
    <w:rsid w:val="001C1A6D"/>
    <w:rsid w:val="001C2FEB"/>
    <w:rsid w:val="001C4702"/>
    <w:rsid w:val="001C4CB5"/>
    <w:rsid w:val="001C4FAA"/>
    <w:rsid w:val="001C6778"/>
    <w:rsid w:val="001C7B32"/>
    <w:rsid w:val="001D0B89"/>
    <w:rsid w:val="001D1C1F"/>
    <w:rsid w:val="001D2F02"/>
    <w:rsid w:val="001D4DC0"/>
    <w:rsid w:val="001D5EBB"/>
    <w:rsid w:val="001D618C"/>
    <w:rsid w:val="001D6398"/>
    <w:rsid w:val="001D6833"/>
    <w:rsid w:val="001E0884"/>
    <w:rsid w:val="001E0AE9"/>
    <w:rsid w:val="001E1193"/>
    <w:rsid w:val="001E1884"/>
    <w:rsid w:val="001E3640"/>
    <w:rsid w:val="001E43AE"/>
    <w:rsid w:val="001E49D1"/>
    <w:rsid w:val="001E4FC3"/>
    <w:rsid w:val="001E5C7B"/>
    <w:rsid w:val="001E695E"/>
    <w:rsid w:val="001E7208"/>
    <w:rsid w:val="001F0109"/>
    <w:rsid w:val="001F1717"/>
    <w:rsid w:val="001F2698"/>
    <w:rsid w:val="001F2D7F"/>
    <w:rsid w:val="001F5629"/>
    <w:rsid w:val="001F56F0"/>
    <w:rsid w:val="001F6CDE"/>
    <w:rsid w:val="001F753E"/>
    <w:rsid w:val="001F78EB"/>
    <w:rsid w:val="00200330"/>
    <w:rsid w:val="002009A6"/>
    <w:rsid w:val="00200E07"/>
    <w:rsid w:val="0020242F"/>
    <w:rsid w:val="00202671"/>
    <w:rsid w:val="002030C4"/>
    <w:rsid w:val="00203A8B"/>
    <w:rsid w:val="00204781"/>
    <w:rsid w:val="00205045"/>
    <w:rsid w:val="00206F8A"/>
    <w:rsid w:val="00207072"/>
    <w:rsid w:val="002079CB"/>
    <w:rsid w:val="00207BAC"/>
    <w:rsid w:val="00212F0B"/>
    <w:rsid w:val="00213B4E"/>
    <w:rsid w:val="002176B8"/>
    <w:rsid w:val="00220D16"/>
    <w:rsid w:val="002211F5"/>
    <w:rsid w:val="00221B69"/>
    <w:rsid w:val="00221D34"/>
    <w:rsid w:val="0022322C"/>
    <w:rsid w:val="0022328E"/>
    <w:rsid w:val="002243E4"/>
    <w:rsid w:val="00224913"/>
    <w:rsid w:val="002262FE"/>
    <w:rsid w:val="002268C8"/>
    <w:rsid w:val="00226C16"/>
    <w:rsid w:val="00227E02"/>
    <w:rsid w:val="00233E46"/>
    <w:rsid w:val="0023694C"/>
    <w:rsid w:val="002373A7"/>
    <w:rsid w:val="00237577"/>
    <w:rsid w:val="002377B7"/>
    <w:rsid w:val="0024038D"/>
    <w:rsid w:val="002407D0"/>
    <w:rsid w:val="00242CB1"/>
    <w:rsid w:val="00243001"/>
    <w:rsid w:val="00244D59"/>
    <w:rsid w:val="002464F0"/>
    <w:rsid w:val="0024720D"/>
    <w:rsid w:val="0024737C"/>
    <w:rsid w:val="00251D81"/>
    <w:rsid w:val="002520FB"/>
    <w:rsid w:val="00252224"/>
    <w:rsid w:val="00252396"/>
    <w:rsid w:val="00252A6F"/>
    <w:rsid w:val="00252D77"/>
    <w:rsid w:val="00254ADF"/>
    <w:rsid w:val="00254C4E"/>
    <w:rsid w:val="00255651"/>
    <w:rsid w:val="00255F25"/>
    <w:rsid w:val="00255FB0"/>
    <w:rsid w:val="002565CD"/>
    <w:rsid w:val="002575A0"/>
    <w:rsid w:val="002578A9"/>
    <w:rsid w:val="002579A0"/>
    <w:rsid w:val="00260ACB"/>
    <w:rsid w:val="002612AF"/>
    <w:rsid w:val="00261867"/>
    <w:rsid w:val="002618BA"/>
    <w:rsid w:val="00261E1C"/>
    <w:rsid w:val="00263C3D"/>
    <w:rsid w:val="00264992"/>
    <w:rsid w:val="00264B66"/>
    <w:rsid w:val="00265089"/>
    <w:rsid w:val="00265109"/>
    <w:rsid w:val="002670BE"/>
    <w:rsid w:val="00267707"/>
    <w:rsid w:val="002706A7"/>
    <w:rsid w:val="00271146"/>
    <w:rsid w:val="002715D5"/>
    <w:rsid w:val="00271DA1"/>
    <w:rsid w:val="00271E8D"/>
    <w:rsid w:val="00272A28"/>
    <w:rsid w:val="00272C38"/>
    <w:rsid w:val="002754F5"/>
    <w:rsid w:val="00275990"/>
    <w:rsid w:val="00276AEB"/>
    <w:rsid w:val="00277BCA"/>
    <w:rsid w:val="002812DB"/>
    <w:rsid w:val="00281508"/>
    <w:rsid w:val="00282A72"/>
    <w:rsid w:val="002839C1"/>
    <w:rsid w:val="00283A2C"/>
    <w:rsid w:val="00284CE2"/>
    <w:rsid w:val="00284EF0"/>
    <w:rsid w:val="00284F70"/>
    <w:rsid w:val="00285F1E"/>
    <w:rsid w:val="0028647F"/>
    <w:rsid w:val="002900AC"/>
    <w:rsid w:val="00290383"/>
    <w:rsid w:val="002923DA"/>
    <w:rsid w:val="00292419"/>
    <w:rsid w:val="00292551"/>
    <w:rsid w:val="00292E64"/>
    <w:rsid w:val="002951CA"/>
    <w:rsid w:val="0029542D"/>
    <w:rsid w:val="00295A23"/>
    <w:rsid w:val="002978ED"/>
    <w:rsid w:val="002A205B"/>
    <w:rsid w:val="002A2B2B"/>
    <w:rsid w:val="002A3EBE"/>
    <w:rsid w:val="002A3EC3"/>
    <w:rsid w:val="002A41D3"/>
    <w:rsid w:val="002A4C2A"/>
    <w:rsid w:val="002A61A4"/>
    <w:rsid w:val="002A7DDA"/>
    <w:rsid w:val="002B00AE"/>
    <w:rsid w:val="002B1F7B"/>
    <w:rsid w:val="002B30E4"/>
    <w:rsid w:val="002B33F1"/>
    <w:rsid w:val="002B3673"/>
    <w:rsid w:val="002B40D3"/>
    <w:rsid w:val="002B471F"/>
    <w:rsid w:val="002B495A"/>
    <w:rsid w:val="002B5973"/>
    <w:rsid w:val="002B59BE"/>
    <w:rsid w:val="002B612E"/>
    <w:rsid w:val="002B6DFA"/>
    <w:rsid w:val="002B6F5E"/>
    <w:rsid w:val="002B75CB"/>
    <w:rsid w:val="002C0133"/>
    <w:rsid w:val="002C2663"/>
    <w:rsid w:val="002C3A16"/>
    <w:rsid w:val="002C420E"/>
    <w:rsid w:val="002C55FB"/>
    <w:rsid w:val="002C6143"/>
    <w:rsid w:val="002C6B9E"/>
    <w:rsid w:val="002D0799"/>
    <w:rsid w:val="002D0DEC"/>
    <w:rsid w:val="002D118E"/>
    <w:rsid w:val="002D184A"/>
    <w:rsid w:val="002D18E6"/>
    <w:rsid w:val="002D1AE7"/>
    <w:rsid w:val="002D1DD1"/>
    <w:rsid w:val="002D1F4E"/>
    <w:rsid w:val="002D2AD6"/>
    <w:rsid w:val="002D2E73"/>
    <w:rsid w:val="002D32E6"/>
    <w:rsid w:val="002D3FF5"/>
    <w:rsid w:val="002D46B5"/>
    <w:rsid w:val="002D5517"/>
    <w:rsid w:val="002D5E87"/>
    <w:rsid w:val="002D5FEA"/>
    <w:rsid w:val="002D6EE7"/>
    <w:rsid w:val="002D721C"/>
    <w:rsid w:val="002D744F"/>
    <w:rsid w:val="002D798D"/>
    <w:rsid w:val="002E044F"/>
    <w:rsid w:val="002E0595"/>
    <w:rsid w:val="002E0E7D"/>
    <w:rsid w:val="002E4E65"/>
    <w:rsid w:val="002E5012"/>
    <w:rsid w:val="002E593C"/>
    <w:rsid w:val="002E608E"/>
    <w:rsid w:val="002E6A03"/>
    <w:rsid w:val="002E6EC3"/>
    <w:rsid w:val="002E72B5"/>
    <w:rsid w:val="002E74F3"/>
    <w:rsid w:val="002F070F"/>
    <w:rsid w:val="002F0A4E"/>
    <w:rsid w:val="002F0DED"/>
    <w:rsid w:val="002F1A48"/>
    <w:rsid w:val="002F1C1F"/>
    <w:rsid w:val="002F35C1"/>
    <w:rsid w:val="002F38FF"/>
    <w:rsid w:val="002F4326"/>
    <w:rsid w:val="002F509A"/>
    <w:rsid w:val="002F50CE"/>
    <w:rsid w:val="002F540A"/>
    <w:rsid w:val="002F607F"/>
    <w:rsid w:val="002F6269"/>
    <w:rsid w:val="002F6B74"/>
    <w:rsid w:val="002F7B09"/>
    <w:rsid w:val="003017C1"/>
    <w:rsid w:val="00302571"/>
    <w:rsid w:val="00303B88"/>
    <w:rsid w:val="00304099"/>
    <w:rsid w:val="003051EE"/>
    <w:rsid w:val="0030661F"/>
    <w:rsid w:val="003068DF"/>
    <w:rsid w:val="00310832"/>
    <w:rsid w:val="00311321"/>
    <w:rsid w:val="00311963"/>
    <w:rsid w:val="00313E5E"/>
    <w:rsid w:val="00314188"/>
    <w:rsid w:val="00314B23"/>
    <w:rsid w:val="00315FA7"/>
    <w:rsid w:val="00320ACD"/>
    <w:rsid w:val="0032106E"/>
    <w:rsid w:val="00321E99"/>
    <w:rsid w:val="00322C00"/>
    <w:rsid w:val="00322E4C"/>
    <w:rsid w:val="00323D7A"/>
    <w:rsid w:val="003267B3"/>
    <w:rsid w:val="00330BB9"/>
    <w:rsid w:val="00331483"/>
    <w:rsid w:val="00331745"/>
    <w:rsid w:val="00331B47"/>
    <w:rsid w:val="00331F24"/>
    <w:rsid w:val="003323F7"/>
    <w:rsid w:val="00334023"/>
    <w:rsid w:val="003346C0"/>
    <w:rsid w:val="00334947"/>
    <w:rsid w:val="00335275"/>
    <w:rsid w:val="003355F4"/>
    <w:rsid w:val="00335D8A"/>
    <w:rsid w:val="003363F4"/>
    <w:rsid w:val="0033654C"/>
    <w:rsid w:val="00336618"/>
    <w:rsid w:val="00337047"/>
    <w:rsid w:val="003379C7"/>
    <w:rsid w:val="0034059F"/>
    <w:rsid w:val="00340F1C"/>
    <w:rsid w:val="0034159C"/>
    <w:rsid w:val="00342510"/>
    <w:rsid w:val="003428F7"/>
    <w:rsid w:val="00343393"/>
    <w:rsid w:val="0034441E"/>
    <w:rsid w:val="003445A6"/>
    <w:rsid w:val="00344A80"/>
    <w:rsid w:val="00345351"/>
    <w:rsid w:val="003463F8"/>
    <w:rsid w:val="003472BE"/>
    <w:rsid w:val="0035020E"/>
    <w:rsid w:val="00350BBB"/>
    <w:rsid w:val="0035133D"/>
    <w:rsid w:val="00351581"/>
    <w:rsid w:val="0035177C"/>
    <w:rsid w:val="00351A2A"/>
    <w:rsid w:val="00352211"/>
    <w:rsid w:val="00353055"/>
    <w:rsid w:val="00354FA8"/>
    <w:rsid w:val="0035546B"/>
    <w:rsid w:val="003554AD"/>
    <w:rsid w:val="003563A7"/>
    <w:rsid w:val="00356672"/>
    <w:rsid w:val="00360063"/>
    <w:rsid w:val="00361080"/>
    <w:rsid w:val="00362575"/>
    <w:rsid w:val="00363229"/>
    <w:rsid w:val="003648E6"/>
    <w:rsid w:val="003650A6"/>
    <w:rsid w:val="00366FD2"/>
    <w:rsid w:val="0036710E"/>
    <w:rsid w:val="00367C20"/>
    <w:rsid w:val="00370D7B"/>
    <w:rsid w:val="00372DF0"/>
    <w:rsid w:val="00373776"/>
    <w:rsid w:val="00375029"/>
    <w:rsid w:val="003753FE"/>
    <w:rsid w:val="00381F99"/>
    <w:rsid w:val="00384025"/>
    <w:rsid w:val="00384A8D"/>
    <w:rsid w:val="00384E03"/>
    <w:rsid w:val="003854C2"/>
    <w:rsid w:val="00386BA1"/>
    <w:rsid w:val="00387BD1"/>
    <w:rsid w:val="00390AB9"/>
    <w:rsid w:val="0039319B"/>
    <w:rsid w:val="003940FB"/>
    <w:rsid w:val="0039499A"/>
    <w:rsid w:val="00395316"/>
    <w:rsid w:val="003956CC"/>
    <w:rsid w:val="0039586E"/>
    <w:rsid w:val="00396CD5"/>
    <w:rsid w:val="00397889"/>
    <w:rsid w:val="003A14F0"/>
    <w:rsid w:val="003A187A"/>
    <w:rsid w:val="003A1912"/>
    <w:rsid w:val="003A2F1F"/>
    <w:rsid w:val="003A320D"/>
    <w:rsid w:val="003A5073"/>
    <w:rsid w:val="003A7D0C"/>
    <w:rsid w:val="003B0806"/>
    <w:rsid w:val="003B1131"/>
    <w:rsid w:val="003B157C"/>
    <w:rsid w:val="003B2B30"/>
    <w:rsid w:val="003B2F96"/>
    <w:rsid w:val="003B4FB6"/>
    <w:rsid w:val="003B5868"/>
    <w:rsid w:val="003B6F1D"/>
    <w:rsid w:val="003B7B67"/>
    <w:rsid w:val="003C0D93"/>
    <w:rsid w:val="003C10DB"/>
    <w:rsid w:val="003C1396"/>
    <w:rsid w:val="003C1AC9"/>
    <w:rsid w:val="003C1BB0"/>
    <w:rsid w:val="003C2D2A"/>
    <w:rsid w:val="003C356F"/>
    <w:rsid w:val="003C3713"/>
    <w:rsid w:val="003C38B1"/>
    <w:rsid w:val="003C404A"/>
    <w:rsid w:val="003C4D4E"/>
    <w:rsid w:val="003C5657"/>
    <w:rsid w:val="003C5BB3"/>
    <w:rsid w:val="003D0369"/>
    <w:rsid w:val="003D0615"/>
    <w:rsid w:val="003D068F"/>
    <w:rsid w:val="003D11E5"/>
    <w:rsid w:val="003D214A"/>
    <w:rsid w:val="003D37CC"/>
    <w:rsid w:val="003D44CB"/>
    <w:rsid w:val="003D5FAB"/>
    <w:rsid w:val="003D73A4"/>
    <w:rsid w:val="003E1C40"/>
    <w:rsid w:val="003E21D7"/>
    <w:rsid w:val="003E2F30"/>
    <w:rsid w:val="003E30D9"/>
    <w:rsid w:val="003E4E56"/>
    <w:rsid w:val="003E60F6"/>
    <w:rsid w:val="003E695F"/>
    <w:rsid w:val="003E6AA5"/>
    <w:rsid w:val="003E74D4"/>
    <w:rsid w:val="003F0A51"/>
    <w:rsid w:val="003F1639"/>
    <w:rsid w:val="003F1D99"/>
    <w:rsid w:val="003F2A52"/>
    <w:rsid w:val="003F3271"/>
    <w:rsid w:val="003F3A35"/>
    <w:rsid w:val="003F4EAA"/>
    <w:rsid w:val="003F5EB8"/>
    <w:rsid w:val="003F60A9"/>
    <w:rsid w:val="004011A2"/>
    <w:rsid w:val="0040190B"/>
    <w:rsid w:val="0040208A"/>
    <w:rsid w:val="004034DB"/>
    <w:rsid w:val="0040381F"/>
    <w:rsid w:val="00403C34"/>
    <w:rsid w:val="00403D6F"/>
    <w:rsid w:val="00404AD5"/>
    <w:rsid w:val="004050F2"/>
    <w:rsid w:val="004061F2"/>
    <w:rsid w:val="00407635"/>
    <w:rsid w:val="004109E1"/>
    <w:rsid w:val="00411672"/>
    <w:rsid w:val="00411B17"/>
    <w:rsid w:val="004144CD"/>
    <w:rsid w:val="00415568"/>
    <w:rsid w:val="004172A7"/>
    <w:rsid w:val="004202C6"/>
    <w:rsid w:val="00420690"/>
    <w:rsid w:val="00421CC2"/>
    <w:rsid w:val="00421E2A"/>
    <w:rsid w:val="004227AE"/>
    <w:rsid w:val="00424CD3"/>
    <w:rsid w:val="00425C9A"/>
    <w:rsid w:val="0042705A"/>
    <w:rsid w:val="0043092E"/>
    <w:rsid w:val="00430E5F"/>
    <w:rsid w:val="00431A69"/>
    <w:rsid w:val="0043201D"/>
    <w:rsid w:val="0043252F"/>
    <w:rsid w:val="004334D3"/>
    <w:rsid w:val="00433988"/>
    <w:rsid w:val="004339A5"/>
    <w:rsid w:val="00434756"/>
    <w:rsid w:val="0043495B"/>
    <w:rsid w:val="00434B95"/>
    <w:rsid w:val="004353D7"/>
    <w:rsid w:val="00443957"/>
    <w:rsid w:val="00443AC2"/>
    <w:rsid w:val="00444F91"/>
    <w:rsid w:val="004452BA"/>
    <w:rsid w:val="004456D2"/>
    <w:rsid w:val="00446021"/>
    <w:rsid w:val="004477F8"/>
    <w:rsid w:val="00447CE2"/>
    <w:rsid w:val="00450A3B"/>
    <w:rsid w:val="00451409"/>
    <w:rsid w:val="00453464"/>
    <w:rsid w:val="004540F3"/>
    <w:rsid w:val="00454451"/>
    <w:rsid w:val="004546D4"/>
    <w:rsid w:val="00455578"/>
    <w:rsid w:val="004555A3"/>
    <w:rsid w:val="00455738"/>
    <w:rsid w:val="00456A07"/>
    <w:rsid w:val="00456B6F"/>
    <w:rsid w:val="00457AFD"/>
    <w:rsid w:val="0046043B"/>
    <w:rsid w:val="0046187D"/>
    <w:rsid w:val="00462DAC"/>
    <w:rsid w:val="00464CDB"/>
    <w:rsid w:val="004654D8"/>
    <w:rsid w:val="00466198"/>
    <w:rsid w:val="004665D9"/>
    <w:rsid w:val="004670E5"/>
    <w:rsid w:val="00467127"/>
    <w:rsid w:val="0046725E"/>
    <w:rsid w:val="00470D7B"/>
    <w:rsid w:val="00472511"/>
    <w:rsid w:val="00473640"/>
    <w:rsid w:val="004740F6"/>
    <w:rsid w:val="00475497"/>
    <w:rsid w:val="00475A5D"/>
    <w:rsid w:val="0047665A"/>
    <w:rsid w:val="004768CC"/>
    <w:rsid w:val="00476FA9"/>
    <w:rsid w:val="004814B3"/>
    <w:rsid w:val="004832D8"/>
    <w:rsid w:val="00483A0A"/>
    <w:rsid w:val="00483BD0"/>
    <w:rsid w:val="00483F48"/>
    <w:rsid w:val="004840AE"/>
    <w:rsid w:val="00485A24"/>
    <w:rsid w:val="00486BB9"/>
    <w:rsid w:val="00487A7D"/>
    <w:rsid w:val="00487D3D"/>
    <w:rsid w:val="00490BEE"/>
    <w:rsid w:val="0049176E"/>
    <w:rsid w:val="0049369D"/>
    <w:rsid w:val="0049403D"/>
    <w:rsid w:val="00494E82"/>
    <w:rsid w:val="004958FF"/>
    <w:rsid w:val="00497816"/>
    <w:rsid w:val="004A1C9B"/>
    <w:rsid w:val="004A20A1"/>
    <w:rsid w:val="004A2963"/>
    <w:rsid w:val="004A2F80"/>
    <w:rsid w:val="004A5153"/>
    <w:rsid w:val="004A5578"/>
    <w:rsid w:val="004A60E4"/>
    <w:rsid w:val="004A6A9A"/>
    <w:rsid w:val="004B1E2C"/>
    <w:rsid w:val="004B77F9"/>
    <w:rsid w:val="004B7E1C"/>
    <w:rsid w:val="004C02F5"/>
    <w:rsid w:val="004C0FE1"/>
    <w:rsid w:val="004C2ECB"/>
    <w:rsid w:val="004C4489"/>
    <w:rsid w:val="004C6D3F"/>
    <w:rsid w:val="004D05F4"/>
    <w:rsid w:val="004D08FD"/>
    <w:rsid w:val="004D0EA3"/>
    <w:rsid w:val="004D152B"/>
    <w:rsid w:val="004D172D"/>
    <w:rsid w:val="004D21B9"/>
    <w:rsid w:val="004D2F4D"/>
    <w:rsid w:val="004D3320"/>
    <w:rsid w:val="004D36A7"/>
    <w:rsid w:val="004D4FB1"/>
    <w:rsid w:val="004D5A03"/>
    <w:rsid w:val="004D5A12"/>
    <w:rsid w:val="004D5E34"/>
    <w:rsid w:val="004D73FA"/>
    <w:rsid w:val="004E059A"/>
    <w:rsid w:val="004E0F06"/>
    <w:rsid w:val="004E1483"/>
    <w:rsid w:val="004E285A"/>
    <w:rsid w:val="004E2B94"/>
    <w:rsid w:val="004E2ECE"/>
    <w:rsid w:val="004E2F27"/>
    <w:rsid w:val="004E2FBE"/>
    <w:rsid w:val="004E48B4"/>
    <w:rsid w:val="004E6579"/>
    <w:rsid w:val="004E6693"/>
    <w:rsid w:val="004F072E"/>
    <w:rsid w:val="004F2B4B"/>
    <w:rsid w:val="004F3D34"/>
    <w:rsid w:val="004F4851"/>
    <w:rsid w:val="004F5C82"/>
    <w:rsid w:val="004F6600"/>
    <w:rsid w:val="004F753D"/>
    <w:rsid w:val="004F78AC"/>
    <w:rsid w:val="004F7FFA"/>
    <w:rsid w:val="00500652"/>
    <w:rsid w:val="00500772"/>
    <w:rsid w:val="00500DBF"/>
    <w:rsid w:val="00500E07"/>
    <w:rsid w:val="005024E4"/>
    <w:rsid w:val="00502840"/>
    <w:rsid w:val="00503DB5"/>
    <w:rsid w:val="00504F72"/>
    <w:rsid w:val="005054E7"/>
    <w:rsid w:val="0050556A"/>
    <w:rsid w:val="00505800"/>
    <w:rsid w:val="005062F3"/>
    <w:rsid w:val="00510BA7"/>
    <w:rsid w:val="00511C22"/>
    <w:rsid w:val="005126DF"/>
    <w:rsid w:val="005139CF"/>
    <w:rsid w:val="00516091"/>
    <w:rsid w:val="0051659B"/>
    <w:rsid w:val="00517CB4"/>
    <w:rsid w:val="00520B22"/>
    <w:rsid w:val="005210BA"/>
    <w:rsid w:val="005210C3"/>
    <w:rsid w:val="00523343"/>
    <w:rsid w:val="005238B2"/>
    <w:rsid w:val="00523B6C"/>
    <w:rsid w:val="00524D61"/>
    <w:rsid w:val="00525643"/>
    <w:rsid w:val="005263B7"/>
    <w:rsid w:val="0052706F"/>
    <w:rsid w:val="00527284"/>
    <w:rsid w:val="005304A8"/>
    <w:rsid w:val="00530C5D"/>
    <w:rsid w:val="005318A2"/>
    <w:rsid w:val="00532A4C"/>
    <w:rsid w:val="0053425A"/>
    <w:rsid w:val="00535D1C"/>
    <w:rsid w:val="00536A9B"/>
    <w:rsid w:val="00536E82"/>
    <w:rsid w:val="0054029D"/>
    <w:rsid w:val="00541C1F"/>
    <w:rsid w:val="00541D4A"/>
    <w:rsid w:val="00541F0A"/>
    <w:rsid w:val="00542784"/>
    <w:rsid w:val="005439E2"/>
    <w:rsid w:val="00543ADE"/>
    <w:rsid w:val="00543E14"/>
    <w:rsid w:val="005446FE"/>
    <w:rsid w:val="005449DC"/>
    <w:rsid w:val="00544CCB"/>
    <w:rsid w:val="00545BAB"/>
    <w:rsid w:val="00546A4A"/>
    <w:rsid w:val="005506C2"/>
    <w:rsid w:val="00550D9A"/>
    <w:rsid w:val="0055107B"/>
    <w:rsid w:val="005516E2"/>
    <w:rsid w:val="00553471"/>
    <w:rsid w:val="005543DA"/>
    <w:rsid w:val="005604F1"/>
    <w:rsid w:val="00561A95"/>
    <w:rsid w:val="00561CDC"/>
    <w:rsid w:val="00561E18"/>
    <w:rsid w:val="0056244C"/>
    <w:rsid w:val="00562F47"/>
    <w:rsid w:val="005655F3"/>
    <w:rsid w:val="00565CE1"/>
    <w:rsid w:val="00566502"/>
    <w:rsid w:val="00566B2C"/>
    <w:rsid w:val="00571A56"/>
    <w:rsid w:val="00572301"/>
    <w:rsid w:val="005725B8"/>
    <w:rsid w:val="0057306F"/>
    <w:rsid w:val="00576A68"/>
    <w:rsid w:val="005774E7"/>
    <w:rsid w:val="00577CE6"/>
    <w:rsid w:val="00580183"/>
    <w:rsid w:val="00580C62"/>
    <w:rsid w:val="00580DA8"/>
    <w:rsid w:val="00580ED9"/>
    <w:rsid w:val="00581821"/>
    <w:rsid w:val="0058662B"/>
    <w:rsid w:val="00587137"/>
    <w:rsid w:val="00590149"/>
    <w:rsid w:val="005903E9"/>
    <w:rsid w:val="00590581"/>
    <w:rsid w:val="00591D52"/>
    <w:rsid w:val="005943B6"/>
    <w:rsid w:val="0059519E"/>
    <w:rsid w:val="00595FB5"/>
    <w:rsid w:val="005964A8"/>
    <w:rsid w:val="005970C3"/>
    <w:rsid w:val="005976ED"/>
    <w:rsid w:val="005978AF"/>
    <w:rsid w:val="005A1354"/>
    <w:rsid w:val="005A231B"/>
    <w:rsid w:val="005A5129"/>
    <w:rsid w:val="005A544C"/>
    <w:rsid w:val="005A660F"/>
    <w:rsid w:val="005B0C99"/>
    <w:rsid w:val="005B1EAB"/>
    <w:rsid w:val="005B428D"/>
    <w:rsid w:val="005B44E3"/>
    <w:rsid w:val="005B4823"/>
    <w:rsid w:val="005B5386"/>
    <w:rsid w:val="005C007C"/>
    <w:rsid w:val="005C0806"/>
    <w:rsid w:val="005C09D9"/>
    <w:rsid w:val="005C0BC3"/>
    <w:rsid w:val="005C4428"/>
    <w:rsid w:val="005C469D"/>
    <w:rsid w:val="005D1233"/>
    <w:rsid w:val="005D2116"/>
    <w:rsid w:val="005D30AB"/>
    <w:rsid w:val="005D58BC"/>
    <w:rsid w:val="005D5D59"/>
    <w:rsid w:val="005D6452"/>
    <w:rsid w:val="005E059C"/>
    <w:rsid w:val="005E1655"/>
    <w:rsid w:val="005E3893"/>
    <w:rsid w:val="005E41B7"/>
    <w:rsid w:val="005E6221"/>
    <w:rsid w:val="005E7C73"/>
    <w:rsid w:val="005F029A"/>
    <w:rsid w:val="005F03E2"/>
    <w:rsid w:val="005F20A0"/>
    <w:rsid w:val="005F2784"/>
    <w:rsid w:val="005F2A21"/>
    <w:rsid w:val="005F68E0"/>
    <w:rsid w:val="005F6CA1"/>
    <w:rsid w:val="005F7386"/>
    <w:rsid w:val="005F7519"/>
    <w:rsid w:val="006004D0"/>
    <w:rsid w:val="0060053F"/>
    <w:rsid w:val="00600A89"/>
    <w:rsid w:val="00601475"/>
    <w:rsid w:val="00604CC0"/>
    <w:rsid w:val="0060593F"/>
    <w:rsid w:val="00610B9D"/>
    <w:rsid w:val="00610BFA"/>
    <w:rsid w:val="00611683"/>
    <w:rsid w:val="00611810"/>
    <w:rsid w:val="00611B52"/>
    <w:rsid w:val="0061263E"/>
    <w:rsid w:val="0061358B"/>
    <w:rsid w:val="00614BDE"/>
    <w:rsid w:val="00614E5C"/>
    <w:rsid w:val="00615C77"/>
    <w:rsid w:val="00616393"/>
    <w:rsid w:val="006168D1"/>
    <w:rsid w:val="00616C67"/>
    <w:rsid w:val="00616F6E"/>
    <w:rsid w:val="006219E2"/>
    <w:rsid w:val="00621B8D"/>
    <w:rsid w:val="006253FC"/>
    <w:rsid w:val="0062630B"/>
    <w:rsid w:val="006266D8"/>
    <w:rsid w:val="00627089"/>
    <w:rsid w:val="00627202"/>
    <w:rsid w:val="00627422"/>
    <w:rsid w:val="0062779B"/>
    <w:rsid w:val="00630782"/>
    <w:rsid w:val="006308C0"/>
    <w:rsid w:val="006344B9"/>
    <w:rsid w:val="00640697"/>
    <w:rsid w:val="006407CA"/>
    <w:rsid w:val="00640D96"/>
    <w:rsid w:val="00640F9A"/>
    <w:rsid w:val="00641D72"/>
    <w:rsid w:val="00643BB6"/>
    <w:rsid w:val="0064417A"/>
    <w:rsid w:val="0064496F"/>
    <w:rsid w:val="00645263"/>
    <w:rsid w:val="00645721"/>
    <w:rsid w:val="00645C3F"/>
    <w:rsid w:val="006479A9"/>
    <w:rsid w:val="0065004C"/>
    <w:rsid w:val="006505B0"/>
    <w:rsid w:val="00650717"/>
    <w:rsid w:val="006511D9"/>
    <w:rsid w:val="0065169E"/>
    <w:rsid w:val="0065174D"/>
    <w:rsid w:val="00651D8E"/>
    <w:rsid w:val="00652C6E"/>
    <w:rsid w:val="0065478A"/>
    <w:rsid w:val="00656BE3"/>
    <w:rsid w:val="00656F59"/>
    <w:rsid w:val="00660057"/>
    <w:rsid w:val="00660730"/>
    <w:rsid w:val="00662AD9"/>
    <w:rsid w:val="00664D45"/>
    <w:rsid w:val="006654F3"/>
    <w:rsid w:val="0066577F"/>
    <w:rsid w:val="006657BD"/>
    <w:rsid w:val="006659C7"/>
    <w:rsid w:val="00666A5C"/>
    <w:rsid w:val="00673A6A"/>
    <w:rsid w:val="00675AC8"/>
    <w:rsid w:val="00676E7D"/>
    <w:rsid w:val="006777C6"/>
    <w:rsid w:val="00680261"/>
    <w:rsid w:val="00681467"/>
    <w:rsid w:val="00681605"/>
    <w:rsid w:val="0068337C"/>
    <w:rsid w:val="00683454"/>
    <w:rsid w:val="006839F7"/>
    <w:rsid w:val="00684754"/>
    <w:rsid w:val="00686E2F"/>
    <w:rsid w:val="00687FE1"/>
    <w:rsid w:val="006903AC"/>
    <w:rsid w:val="00690434"/>
    <w:rsid w:val="006924E3"/>
    <w:rsid w:val="006925C0"/>
    <w:rsid w:val="006931B6"/>
    <w:rsid w:val="00694928"/>
    <w:rsid w:val="00694D3C"/>
    <w:rsid w:val="00695FD1"/>
    <w:rsid w:val="00696CCF"/>
    <w:rsid w:val="006A2B6B"/>
    <w:rsid w:val="006A37C6"/>
    <w:rsid w:val="006A435C"/>
    <w:rsid w:val="006A5595"/>
    <w:rsid w:val="006A6335"/>
    <w:rsid w:val="006A6A21"/>
    <w:rsid w:val="006A6B2E"/>
    <w:rsid w:val="006A7369"/>
    <w:rsid w:val="006A7544"/>
    <w:rsid w:val="006A7897"/>
    <w:rsid w:val="006A7D6D"/>
    <w:rsid w:val="006B057D"/>
    <w:rsid w:val="006B2573"/>
    <w:rsid w:val="006B3513"/>
    <w:rsid w:val="006B3EBD"/>
    <w:rsid w:val="006B473B"/>
    <w:rsid w:val="006B4976"/>
    <w:rsid w:val="006B54B8"/>
    <w:rsid w:val="006B5E8E"/>
    <w:rsid w:val="006B7071"/>
    <w:rsid w:val="006C0D41"/>
    <w:rsid w:val="006C1B62"/>
    <w:rsid w:val="006C1F99"/>
    <w:rsid w:val="006C2404"/>
    <w:rsid w:val="006C2F99"/>
    <w:rsid w:val="006C38E7"/>
    <w:rsid w:val="006C3D36"/>
    <w:rsid w:val="006C50AB"/>
    <w:rsid w:val="006C5A2B"/>
    <w:rsid w:val="006C5AEA"/>
    <w:rsid w:val="006C5BA7"/>
    <w:rsid w:val="006C5C39"/>
    <w:rsid w:val="006C6112"/>
    <w:rsid w:val="006C6BBA"/>
    <w:rsid w:val="006C6F7A"/>
    <w:rsid w:val="006C7203"/>
    <w:rsid w:val="006D0047"/>
    <w:rsid w:val="006D0E93"/>
    <w:rsid w:val="006D2BDC"/>
    <w:rsid w:val="006D4C8B"/>
    <w:rsid w:val="006D5AD9"/>
    <w:rsid w:val="006D5F49"/>
    <w:rsid w:val="006D657F"/>
    <w:rsid w:val="006E1CB6"/>
    <w:rsid w:val="006E32EC"/>
    <w:rsid w:val="006E5184"/>
    <w:rsid w:val="006E5784"/>
    <w:rsid w:val="006F180D"/>
    <w:rsid w:val="006F361A"/>
    <w:rsid w:val="006F3AE4"/>
    <w:rsid w:val="006F42B4"/>
    <w:rsid w:val="006F4784"/>
    <w:rsid w:val="006F4E2C"/>
    <w:rsid w:val="006F5DE9"/>
    <w:rsid w:val="006F644C"/>
    <w:rsid w:val="006F7173"/>
    <w:rsid w:val="006F78C4"/>
    <w:rsid w:val="006F7B09"/>
    <w:rsid w:val="00700FA7"/>
    <w:rsid w:val="00701987"/>
    <w:rsid w:val="00703AEA"/>
    <w:rsid w:val="00703D32"/>
    <w:rsid w:val="00703F6F"/>
    <w:rsid w:val="007046A9"/>
    <w:rsid w:val="007048EA"/>
    <w:rsid w:val="00704B7F"/>
    <w:rsid w:val="0070506E"/>
    <w:rsid w:val="0070568D"/>
    <w:rsid w:val="00705E2B"/>
    <w:rsid w:val="00706080"/>
    <w:rsid w:val="007065C9"/>
    <w:rsid w:val="00706780"/>
    <w:rsid w:val="00706F44"/>
    <w:rsid w:val="007070C9"/>
    <w:rsid w:val="00710934"/>
    <w:rsid w:val="007116A8"/>
    <w:rsid w:val="0071272C"/>
    <w:rsid w:val="007138F3"/>
    <w:rsid w:val="00713929"/>
    <w:rsid w:val="007142B9"/>
    <w:rsid w:val="007147C6"/>
    <w:rsid w:val="00714CC7"/>
    <w:rsid w:val="00714F5B"/>
    <w:rsid w:val="00715295"/>
    <w:rsid w:val="00715CB6"/>
    <w:rsid w:val="007162F7"/>
    <w:rsid w:val="007163FA"/>
    <w:rsid w:val="00716464"/>
    <w:rsid w:val="00716C7E"/>
    <w:rsid w:val="00717775"/>
    <w:rsid w:val="00717A02"/>
    <w:rsid w:val="00717F68"/>
    <w:rsid w:val="00720BAD"/>
    <w:rsid w:val="007220EC"/>
    <w:rsid w:val="00722A88"/>
    <w:rsid w:val="00723BDC"/>
    <w:rsid w:val="00723FFC"/>
    <w:rsid w:val="00724336"/>
    <w:rsid w:val="00724EB9"/>
    <w:rsid w:val="00725331"/>
    <w:rsid w:val="00730171"/>
    <w:rsid w:val="007303AD"/>
    <w:rsid w:val="007315BC"/>
    <w:rsid w:val="00734921"/>
    <w:rsid w:val="007357C4"/>
    <w:rsid w:val="00735CA2"/>
    <w:rsid w:val="00735E1E"/>
    <w:rsid w:val="007374A9"/>
    <w:rsid w:val="007423BE"/>
    <w:rsid w:val="007432F4"/>
    <w:rsid w:val="0074500C"/>
    <w:rsid w:val="0074519F"/>
    <w:rsid w:val="007453EC"/>
    <w:rsid w:val="00747514"/>
    <w:rsid w:val="00747919"/>
    <w:rsid w:val="00750129"/>
    <w:rsid w:val="00750880"/>
    <w:rsid w:val="00750D2D"/>
    <w:rsid w:val="00751496"/>
    <w:rsid w:val="00751ADD"/>
    <w:rsid w:val="00752AB1"/>
    <w:rsid w:val="00754401"/>
    <w:rsid w:val="00755132"/>
    <w:rsid w:val="00755167"/>
    <w:rsid w:val="00755545"/>
    <w:rsid w:val="007569E6"/>
    <w:rsid w:val="0075736C"/>
    <w:rsid w:val="00757524"/>
    <w:rsid w:val="007602C9"/>
    <w:rsid w:val="007614B3"/>
    <w:rsid w:val="00764051"/>
    <w:rsid w:val="00764983"/>
    <w:rsid w:val="00765436"/>
    <w:rsid w:val="0076613C"/>
    <w:rsid w:val="00766D1A"/>
    <w:rsid w:val="00766FCF"/>
    <w:rsid w:val="0076757A"/>
    <w:rsid w:val="007709DB"/>
    <w:rsid w:val="00770C27"/>
    <w:rsid w:val="00771F69"/>
    <w:rsid w:val="00772E32"/>
    <w:rsid w:val="00773AFC"/>
    <w:rsid w:val="00774445"/>
    <w:rsid w:val="00774775"/>
    <w:rsid w:val="00776057"/>
    <w:rsid w:val="007762B5"/>
    <w:rsid w:val="007764C3"/>
    <w:rsid w:val="007773A0"/>
    <w:rsid w:val="007774F8"/>
    <w:rsid w:val="00781C21"/>
    <w:rsid w:val="00781C81"/>
    <w:rsid w:val="007825F7"/>
    <w:rsid w:val="0078350F"/>
    <w:rsid w:val="00783582"/>
    <w:rsid w:val="00784172"/>
    <w:rsid w:val="007847E4"/>
    <w:rsid w:val="00784A18"/>
    <w:rsid w:val="00785408"/>
    <w:rsid w:val="00785805"/>
    <w:rsid w:val="00786E29"/>
    <w:rsid w:val="00787E66"/>
    <w:rsid w:val="007900EA"/>
    <w:rsid w:val="0079066E"/>
    <w:rsid w:val="0079074D"/>
    <w:rsid w:val="00792A75"/>
    <w:rsid w:val="00792D63"/>
    <w:rsid w:val="00794047"/>
    <w:rsid w:val="00794255"/>
    <w:rsid w:val="00794C69"/>
    <w:rsid w:val="00795A2A"/>
    <w:rsid w:val="0079622C"/>
    <w:rsid w:val="00797EF2"/>
    <w:rsid w:val="007A0AE2"/>
    <w:rsid w:val="007A0EF0"/>
    <w:rsid w:val="007A121A"/>
    <w:rsid w:val="007A390D"/>
    <w:rsid w:val="007A42A5"/>
    <w:rsid w:val="007A5E30"/>
    <w:rsid w:val="007A7622"/>
    <w:rsid w:val="007A76EB"/>
    <w:rsid w:val="007B0347"/>
    <w:rsid w:val="007B1C00"/>
    <w:rsid w:val="007B2CD8"/>
    <w:rsid w:val="007B3790"/>
    <w:rsid w:val="007B41AD"/>
    <w:rsid w:val="007B469D"/>
    <w:rsid w:val="007B6ACE"/>
    <w:rsid w:val="007C0546"/>
    <w:rsid w:val="007C0C90"/>
    <w:rsid w:val="007C3638"/>
    <w:rsid w:val="007C45F0"/>
    <w:rsid w:val="007C4BFB"/>
    <w:rsid w:val="007C6B57"/>
    <w:rsid w:val="007D0E77"/>
    <w:rsid w:val="007D651F"/>
    <w:rsid w:val="007D6530"/>
    <w:rsid w:val="007E075F"/>
    <w:rsid w:val="007E206B"/>
    <w:rsid w:val="007E208A"/>
    <w:rsid w:val="007E2602"/>
    <w:rsid w:val="007E2CEB"/>
    <w:rsid w:val="007E2F37"/>
    <w:rsid w:val="007E3DA8"/>
    <w:rsid w:val="007E4015"/>
    <w:rsid w:val="007E4C1E"/>
    <w:rsid w:val="007E5F73"/>
    <w:rsid w:val="007E7E36"/>
    <w:rsid w:val="007F0663"/>
    <w:rsid w:val="007F16EE"/>
    <w:rsid w:val="007F1A4D"/>
    <w:rsid w:val="007F24F4"/>
    <w:rsid w:val="007F2927"/>
    <w:rsid w:val="007F3963"/>
    <w:rsid w:val="007F4D3F"/>
    <w:rsid w:val="007F5287"/>
    <w:rsid w:val="007F53AD"/>
    <w:rsid w:val="007F5E89"/>
    <w:rsid w:val="007F7145"/>
    <w:rsid w:val="007F716C"/>
    <w:rsid w:val="007F77F4"/>
    <w:rsid w:val="007F796D"/>
    <w:rsid w:val="0080110B"/>
    <w:rsid w:val="008013AC"/>
    <w:rsid w:val="0080208F"/>
    <w:rsid w:val="00803688"/>
    <w:rsid w:val="008040A5"/>
    <w:rsid w:val="008040FD"/>
    <w:rsid w:val="00805752"/>
    <w:rsid w:val="00811E2E"/>
    <w:rsid w:val="00812C93"/>
    <w:rsid w:val="00812CCE"/>
    <w:rsid w:val="0081341C"/>
    <w:rsid w:val="008147C7"/>
    <w:rsid w:val="008150B0"/>
    <w:rsid w:val="008154D5"/>
    <w:rsid w:val="00816637"/>
    <w:rsid w:val="0081678A"/>
    <w:rsid w:val="00816BA7"/>
    <w:rsid w:val="00817183"/>
    <w:rsid w:val="008208E8"/>
    <w:rsid w:val="00822136"/>
    <w:rsid w:val="008224DA"/>
    <w:rsid w:val="00823C21"/>
    <w:rsid w:val="00823D26"/>
    <w:rsid w:val="00824A73"/>
    <w:rsid w:val="00825319"/>
    <w:rsid w:val="008258AC"/>
    <w:rsid w:val="00825AD1"/>
    <w:rsid w:val="008261BD"/>
    <w:rsid w:val="00826397"/>
    <w:rsid w:val="00827D82"/>
    <w:rsid w:val="00832201"/>
    <w:rsid w:val="008334FA"/>
    <w:rsid w:val="00833719"/>
    <w:rsid w:val="008340AD"/>
    <w:rsid w:val="0083589A"/>
    <w:rsid w:val="00837C65"/>
    <w:rsid w:val="0084108C"/>
    <w:rsid w:val="008428EE"/>
    <w:rsid w:val="00844CF2"/>
    <w:rsid w:val="008456A8"/>
    <w:rsid w:val="00847AB2"/>
    <w:rsid w:val="00847BBC"/>
    <w:rsid w:val="00847E68"/>
    <w:rsid w:val="008504F8"/>
    <w:rsid w:val="00851772"/>
    <w:rsid w:val="00851933"/>
    <w:rsid w:val="008525FA"/>
    <w:rsid w:val="00856C7A"/>
    <w:rsid w:val="008606A4"/>
    <w:rsid w:val="008606F3"/>
    <w:rsid w:val="00860FCE"/>
    <w:rsid w:val="00861FD9"/>
    <w:rsid w:val="0086237D"/>
    <w:rsid w:val="0086266D"/>
    <w:rsid w:val="00864A3B"/>
    <w:rsid w:val="00866FA3"/>
    <w:rsid w:val="0086710A"/>
    <w:rsid w:val="00870051"/>
    <w:rsid w:val="008708DA"/>
    <w:rsid w:val="00871278"/>
    <w:rsid w:val="008723EB"/>
    <w:rsid w:val="00872800"/>
    <w:rsid w:val="00873721"/>
    <w:rsid w:val="00873B99"/>
    <w:rsid w:val="00874CC2"/>
    <w:rsid w:val="00874EF8"/>
    <w:rsid w:val="0087536D"/>
    <w:rsid w:val="00875AA1"/>
    <w:rsid w:val="00875B28"/>
    <w:rsid w:val="008767DC"/>
    <w:rsid w:val="00877328"/>
    <w:rsid w:val="00880ADC"/>
    <w:rsid w:val="00881E52"/>
    <w:rsid w:val="00884B83"/>
    <w:rsid w:val="00885C07"/>
    <w:rsid w:val="00885DBB"/>
    <w:rsid w:val="0088739D"/>
    <w:rsid w:val="0088791D"/>
    <w:rsid w:val="0089246D"/>
    <w:rsid w:val="008926AD"/>
    <w:rsid w:val="008931D4"/>
    <w:rsid w:val="00893954"/>
    <w:rsid w:val="0089561B"/>
    <w:rsid w:val="00895C75"/>
    <w:rsid w:val="00896628"/>
    <w:rsid w:val="008969FD"/>
    <w:rsid w:val="00896EE2"/>
    <w:rsid w:val="00896F91"/>
    <w:rsid w:val="00897021"/>
    <w:rsid w:val="0089739E"/>
    <w:rsid w:val="008A23B1"/>
    <w:rsid w:val="008A2861"/>
    <w:rsid w:val="008A290D"/>
    <w:rsid w:val="008A2C78"/>
    <w:rsid w:val="008A2D71"/>
    <w:rsid w:val="008A3786"/>
    <w:rsid w:val="008A39F7"/>
    <w:rsid w:val="008A4F7A"/>
    <w:rsid w:val="008A555E"/>
    <w:rsid w:val="008B02C5"/>
    <w:rsid w:val="008B234B"/>
    <w:rsid w:val="008B3025"/>
    <w:rsid w:val="008B315F"/>
    <w:rsid w:val="008B43A4"/>
    <w:rsid w:val="008B4CAE"/>
    <w:rsid w:val="008B67D0"/>
    <w:rsid w:val="008B6DC5"/>
    <w:rsid w:val="008B756E"/>
    <w:rsid w:val="008C089F"/>
    <w:rsid w:val="008C0A3A"/>
    <w:rsid w:val="008C15A4"/>
    <w:rsid w:val="008C174F"/>
    <w:rsid w:val="008C19CE"/>
    <w:rsid w:val="008C1C25"/>
    <w:rsid w:val="008C1FF4"/>
    <w:rsid w:val="008C2C01"/>
    <w:rsid w:val="008C2D0F"/>
    <w:rsid w:val="008C3D72"/>
    <w:rsid w:val="008D135C"/>
    <w:rsid w:val="008D2333"/>
    <w:rsid w:val="008D3F05"/>
    <w:rsid w:val="008D45F3"/>
    <w:rsid w:val="008D4640"/>
    <w:rsid w:val="008D529C"/>
    <w:rsid w:val="008E0177"/>
    <w:rsid w:val="008E03CD"/>
    <w:rsid w:val="008E0A56"/>
    <w:rsid w:val="008E177D"/>
    <w:rsid w:val="008E1F99"/>
    <w:rsid w:val="008E2290"/>
    <w:rsid w:val="008E244A"/>
    <w:rsid w:val="008E2FA3"/>
    <w:rsid w:val="008E3517"/>
    <w:rsid w:val="008E403D"/>
    <w:rsid w:val="008E4C42"/>
    <w:rsid w:val="008E5886"/>
    <w:rsid w:val="008E7AB6"/>
    <w:rsid w:val="008E7AEE"/>
    <w:rsid w:val="008F45CC"/>
    <w:rsid w:val="008F4CF5"/>
    <w:rsid w:val="008F55CB"/>
    <w:rsid w:val="008F5974"/>
    <w:rsid w:val="008F5DA5"/>
    <w:rsid w:val="008F64C9"/>
    <w:rsid w:val="008F72FB"/>
    <w:rsid w:val="009006C5"/>
    <w:rsid w:val="0090153C"/>
    <w:rsid w:val="00902B34"/>
    <w:rsid w:val="00903ED9"/>
    <w:rsid w:val="00904104"/>
    <w:rsid w:val="00904198"/>
    <w:rsid w:val="0090442E"/>
    <w:rsid w:val="00904FF9"/>
    <w:rsid w:val="009068C7"/>
    <w:rsid w:val="0090701C"/>
    <w:rsid w:val="00907CC2"/>
    <w:rsid w:val="009112C8"/>
    <w:rsid w:val="009116D8"/>
    <w:rsid w:val="00912102"/>
    <w:rsid w:val="00914FD0"/>
    <w:rsid w:val="00916B3D"/>
    <w:rsid w:val="00916D0E"/>
    <w:rsid w:val="00916D17"/>
    <w:rsid w:val="0091792F"/>
    <w:rsid w:val="00917A18"/>
    <w:rsid w:val="00917C84"/>
    <w:rsid w:val="00917DED"/>
    <w:rsid w:val="00917F5E"/>
    <w:rsid w:val="009209DE"/>
    <w:rsid w:val="00920B5C"/>
    <w:rsid w:val="009229ED"/>
    <w:rsid w:val="00922D5B"/>
    <w:rsid w:val="00923E44"/>
    <w:rsid w:val="0092471E"/>
    <w:rsid w:val="0092505C"/>
    <w:rsid w:val="0092644C"/>
    <w:rsid w:val="009275E4"/>
    <w:rsid w:val="00927772"/>
    <w:rsid w:val="00930EF5"/>
    <w:rsid w:val="00931337"/>
    <w:rsid w:val="0093137D"/>
    <w:rsid w:val="00931419"/>
    <w:rsid w:val="00931E3B"/>
    <w:rsid w:val="009325E7"/>
    <w:rsid w:val="009337A2"/>
    <w:rsid w:val="009342F5"/>
    <w:rsid w:val="00934833"/>
    <w:rsid w:val="00934AA8"/>
    <w:rsid w:val="00934B97"/>
    <w:rsid w:val="00935281"/>
    <w:rsid w:val="00936278"/>
    <w:rsid w:val="00936AD6"/>
    <w:rsid w:val="00937D5F"/>
    <w:rsid w:val="00940BDC"/>
    <w:rsid w:val="009412FD"/>
    <w:rsid w:val="009420CA"/>
    <w:rsid w:val="009431BF"/>
    <w:rsid w:val="00943C28"/>
    <w:rsid w:val="009452EC"/>
    <w:rsid w:val="00947AB9"/>
    <w:rsid w:val="0095067B"/>
    <w:rsid w:val="00950A6C"/>
    <w:rsid w:val="009510CE"/>
    <w:rsid w:val="00951B58"/>
    <w:rsid w:val="00952B56"/>
    <w:rsid w:val="00953247"/>
    <w:rsid w:val="00953602"/>
    <w:rsid w:val="00953689"/>
    <w:rsid w:val="00953BB8"/>
    <w:rsid w:val="00953C22"/>
    <w:rsid w:val="009549F4"/>
    <w:rsid w:val="00954BC6"/>
    <w:rsid w:val="00954D64"/>
    <w:rsid w:val="009557D6"/>
    <w:rsid w:val="00955B4D"/>
    <w:rsid w:val="00955EC3"/>
    <w:rsid w:val="0095607B"/>
    <w:rsid w:val="0095661C"/>
    <w:rsid w:val="00956AC4"/>
    <w:rsid w:val="00956EEA"/>
    <w:rsid w:val="009630AA"/>
    <w:rsid w:val="00963186"/>
    <w:rsid w:val="009635F6"/>
    <w:rsid w:val="00963E94"/>
    <w:rsid w:val="0096658D"/>
    <w:rsid w:val="009671DF"/>
    <w:rsid w:val="0097203E"/>
    <w:rsid w:val="009735AD"/>
    <w:rsid w:val="00974B7F"/>
    <w:rsid w:val="00974B93"/>
    <w:rsid w:val="00975118"/>
    <w:rsid w:val="00975E28"/>
    <w:rsid w:val="00975E82"/>
    <w:rsid w:val="0097636E"/>
    <w:rsid w:val="00976C3D"/>
    <w:rsid w:val="009772D8"/>
    <w:rsid w:val="00980A78"/>
    <w:rsid w:val="00981C62"/>
    <w:rsid w:val="009841CD"/>
    <w:rsid w:val="00984D95"/>
    <w:rsid w:val="009851F7"/>
    <w:rsid w:val="009857E8"/>
    <w:rsid w:val="009859EE"/>
    <w:rsid w:val="009863A5"/>
    <w:rsid w:val="0098640A"/>
    <w:rsid w:val="009879FE"/>
    <w:rsid w:val="009900BD"/>
    <w:rsid w:val="00990635"/>
    <w:rsid w:val="00991428"/>
    <w:rsid w:val="00991942"/>
    <w:rsid w:val="00991A71"/>
    <w:rsid w:val="009947CA"/>
    <w:rsid w:val="0099531C"/>
    <w:rsid w:val="00995CCB"/>
    <w:rsid w:val="009963CE"/>
    <w:rsid w:val="0099686B"/>
    <w:rsid w:val="00997B32"/>
    <w:rsid w:val="009A0C46"/>
    <w:rsid w:val="009A168D"/>
    <w:rsid w:val="009A270A"/>
    <w:rsid w:val="009A320F"/>
    <w:rsid w:val="009A3775"/>
    <w:rsid w:val="009A37CF"/>
    <w:rsid w:val="009A38F5"/>
    <w:rsid w:val="009A3933"/>
    <w:rsid w:val="009A39CA"/>
    <w:rsid w:val="009A4EA5"/>
    <w:rsid w:val="009A5975"/>
    <w:rsid w:val="009A6919"/>
    <w:rsid w:val="009A716C"/>
    <w:rsid w:val="009A776A"/>
    <w:rsid w:val="009A7A94"/>
    <w:rsid w:val="009B0077"/>
    <w:rsid w:val="009B0315"/>
    <w:rsid w:val="009B1126"/>
    <w:rsid w:val="009B1987"/>
    <w:rsid w:val="009B3933"/>
    <w:rsid w:val="009B3A35"/>
    <w:rsid w:val="009B41BC"/>
    <w:rsid w:val="009B4E09"/>
    <w:rsid w:val="009B50B6"/>
    <w:rsid w:val="009B5F07"/>
    <w:rsid w:val="009B5F7D"/>
    <w:rsid w:val="009B62F5"/>
    <w:rsid w:val="009B74B5"/>
    <w:rsid w:val="009C1911"/>
    <w:rsid w:val="009C25B1"/>
    <w:rsid w:val="009C2782"/>
    <w:rsid w:val="009C2870"/>
    <w:rsid w:val="009C33B0"/>
    <w:rsid w:val="009C3AD5"/>
    <w:rsid w:val="009C4138"/>
    <w:rsid w:val="009C4448"/>
    <w:rsid w:val="009C4952"/>
    <w:rsid w:val="009C6A1F"/>
    <w:rsid w:val="009D01B3"/>
    <w:rsid w:val="009D1C6E"/>
    <w:rsid w:val="009D206F"/>
    <w:rsid w:val="009D4104"/>
    <w:rsid w:val="009D4105"/>
    <w:rsid w:val="009D69DE"/>
    <w:rsid w:val="009D7BF6"/>
    <w:rsid w:val="009E01C1"/>
    <w:rsid w:val="009E1B23"/>
    <w:rsid w:val="009E1C78"/>
    <w:rsid w:val="009E26C4"/>
    <w:rsid w:val="009E2D14"/>
    <w:rsid w:val="009E34BD"/>
    <w:rsid w:val="009E4512"/>
    <w:rsid w:val="009E45A3"/>
    <w:rsid w:val="009E46CB"/>
    <w:rsid w:val="009E4C91"/>
    <w:rsid w:val="009E5F21"/>
    <w:rsid w:val="009E7C2A"/>
    <w:rsid w:val="009E7C79"/>
    <w:rsid w:val="009E7D33"/>
    <w:rsid w:val="009F21F2"/>
    <w:rsid w:val="009F2FBE"/>
    <w:rsid w:val="009F3587"/>
    <w:rsid w:val="009F4BA9"/>
    <w:rsid w:val="009F5543"/>
    <w:rsid w:val="009F59F0"/>
    <w:rsid w:val="009F6239"/>
    <w:rsid w:val="009F7410"/>
    <w:rsid w:val="00A00CBC"/>
    <w:rsid w:val="00A01C6C"/>
    <w:rsid w:val="00A01EBB"/>
    <w:rsid w:val="00A0251F"/>
    <w:rsid w:val="00A026A0"/>
    <w:rsid w:val="00A028A5"/>
    <w:rsid w:val="00A0351D"/>
    <w:rsid w:val="00A03B33"/>
    <w:rsid w:val="00A05B72"/>
    <w:rsid w:val="00A0698F"/>
    <w:rsid w:val="00A06E54"/>
    <w:rsid w:val="00A1096F"/>
    <w:rsid w:val="00A132CF"/>
    <w:rsid w:val="00A15250"/>
    <w:rsid w:val="00A15728"/>
    <w:rsid w:val="00A175E9"/>
    <w:rsid w:val="00A20631"/>
    <w:rsid w:val="00A2149F"/>
    <w:rsid w:val="00A21AF2"/>
    <w:rsid w:val="00A22DEA"/>
    <w:rsid w:val="00A2499C"/>
    <w:rsid w:val="00A26141"/>
    <w:rsid w:val="00A31003"/>
    <w:rsid w:val="00A31681"/>
    <w:rsid w:val="00A31886"/>
    <w:rsid w:val="00A318FB"/>
    <w:rsid w:val="00A31A26"/>
    <w:rsid w:val="00A33D2F"/>
    <w:rsid w:val="00A33DD2"/>
    <w:rsid w:val="00A363BD"/>
    <w:rsid w:val="00A36BD1"/>
    <w:rsid w:val="00A403E1"/>
    <w:rsid w:val="00A403E2"/>
    <w:rsid w:val="00A424E5"/>
    <w:rsid w:val="00A45174"/>
    <w:rsid w:val="00A4535D"/>
    <w:rsid w:val="00A457D7"/>
    <w:rsid w:val="00A460F3"/>
    <w:rsid w:val="00A47695"/>
    <w:rsid w:val="00A50A39"/>
    <w:rsid w:val="00A510F3"/>
    <w:rsid w:val="00A53041"/>
    <w:rsid w:val="00A5410B"/>
    <w:rsid w:val="00A543B1"/>
    <w:rsid w:val="00A54CC9"/>
    <w:rsid w:val="00A54D74"/>
    <w:rsid w:val="00A570C3"/>
    <w:rsid w:val="00A5728C"/>
    <w:rsid w:val="00A57C32"/>
    <w:rsid w:val="00A6050A"/>
    <w:rsid w:val="00A60C30"/>
    <w:rsid w:val="00A62CB7"/>
    <w:rsid w:val="00A64074"/>
    <w:rsid w:val="00A666D4"/>
    <w:rsid w:val="00A70643"/>
    <w:rsid w:val="00A71EB7"/>
    <w:rsid w:val="00A7215C"/>
    <w:rsid w:val="00A72C4D"/>
    <w:rsid w:val="00A74935"/>
    <w:rsid w:val="00A74EDB"/>
    <w:rsid w:val="00A74FE4"/>
    <w:rsid w:val="00A756C7"/>
    <w:rsid w:val="00A76084"/>
    <w:rsid w:val="00A770F3"/>
    <w:rsid w:val="00A77D29"/>
    <w:rsid w:val="00A80050"/>
    <w:rsid w:val="00A81CBF"/>
    <w:rsid w:val="00A828EA"/>
    <w:rsid w:val="00A8392C"/>
    <w:rsid w:val="00A85306"/>
    <w:rsid w:val="00A85481"/>
    <w:rsid w:val="00A855E6"/>
    <w:rsid w:val="00A86BD2"/>
    <w:rsid w:val="00A92BA7"/>
    <w:rsid w:val="00A92BF4"/>
    <w:rsid w:val="00A9336A"/>
    <w:rsid w:val="00A95D7F"/>
    <w:rsid w:val="00A9762B"/>
    <w:rsid w:val="00A97FAB"/>
    <w:rsid w:val="00AA18C8"/>
    <w:rsid w:val="00AA281F"/>
    <w:rsid w:val="00AA48B2"/>
    <w:rsid w:val="00AA543A"/>
    <w:rsid w:val="00AA57E7"/>
    <w:rsid w:val="00AA67E7"/>
    <w:rsid w:val="00AA73C9"/>
    <w:rsid w:val="00AA75A1"/>
    <w:rsid w:val="00AA7835"/>
    <w:rsid w:val="00AB092A"/>
    <w:rsid w:val="00AB0FC5"/>
    <w:rsid w:val="00AB20F5"/>
    <w:rsid w:val="00AB28E3"/>
    <w:rsid w:val="00AB364D"/>
    <w:rsid w:val="00AB3E80"/>
    <w:rsid w:val="00AB49CB"/>
    <w:rsid w:val="00AB56D2"/>
    <w:rsid w:val="00AB62B0"/>
    <w:rsid w:val="00AC0BF9"/>
    <w:rsid w:val="00AC1FB3"/>
    <w:rsid w:val="00AC2303"/>
    <w:rsid w:val="00AC23E6"/>
    <w:rsid w:val="00AC311D"/>
    <w:rsid w:val="00AC3E84"/>
    <w:rsid w:val="00AC581F"/>
    <w:rsid w:val="00AC791E"/>
    <w:rsid w:val="00AC7999"/>
    <w:rsid w:val="00AC7FB1"/>
    <w:rsid w:val="00AD034C"/>
    <w:rsid w:val="00AD05B7"/>
    <w:rsid w:val="00AD0F6C"/>
    <w:rsid w:val="00AD31E1"/>
    <w:rsid w:val="00AD551C"/>
    <w:rsid w:val="00AD57E4"/>
    <w:rsid w:val="00AD5C1D"/>
    <w:rsid w:val="00AD7AD2"/>
    <w:rsid w:val="00AE0077"/>
    <w:rsid w:val="00AE09DC"/>
    <w:rsid w:val="00AE0C79"/>
    <w:rsid w:val="00AE16E7"/>
    <w:rsid w:val="00AE2B0A"/>
    <w:rsid w:val="00AE392C"/>
    <w:rsid w:val="00AE3C8E"/>
    <w:rsid w:val="00AE3CCB"/>
    <w:rsid w:val="00AE548D"/>
    <w:rsid w:val="00AE6EDA"/>
    <w:rsid w:val="00AE73EE"/>
    <w:rsid w:val="00AF12FA"/>
    <w:rsid w:val="00AF2377"/>
    <w:rsid w:val="00AF3415"/>
    <w:rsid w:val="00AF7AB9"/>
    <w:rsid w:val="00B0137F"/>
    <w:rsid w:val="00B01D73"/>
    <w:rsid w:val="00B01E4F"/>
    <w:rsid w:val="00B030A8"/>
    <w:rsid w:val="00B052E2"/>
    <w:rsid w:val="00B05A69"/>
    <w:rsid w:val="00B0732D"/>
    <w:rsid w:val="00B12204"/>
    <w:rsid w:val="00B12BAB"/>
    <w:rsid w:val="00B14ABB"/>
    <w:rsid w:val="00B1508A"/>
    <w:rsid w:val="00B15674"/>
    <w:rsid w:val="00B1572A"/>
    <w:rsid w:val="00B15988"/>
    <w:rsid w:val="00B15B80"/>
    <w:rsid w:val="00B15F3E"/>
    <w:rsid w:val="00B1646D"/>
    <w:rsid w:val="00B170C9"/>
    <w:rsid w:val="00B1714E"/>
    <w:rsid w:val="00B174E0"/>
    <w:rsid w:val="00B207C6"/>
    <w:rsid w:val="00B20D2C"/>
    <w:rsid w:val="00B22D34"/>
    <w:rsid w:val="00B23076"/>
    <w:rsid w:val="00B23704"/>
    <w:rsid w:val="00B240B5"/>
    <w:rsid w:val="00B243A9"/>
    <w:rsid w:val="00B2486B"/>
    <w:rsid w:val="00B24ADD"/>
    <w:rsid w:val="00B26FCD"/>
    <w:rsid w:val="00B304A5"/>
    <w:rsid w:val="00B321FD"/>
    <w:rsid w:val="00B32644"/>
    <w:rsid w:val="00B32C19"/>
    <w:rsid w:val="00B337D2"/>
    <w:rsid w:val="00B357EE"/>
    <w:rsid w:val="00B37DAA"/>
    <w:rsid w:val="00B37F13"/>
    <w:rsid w:val="00B40351"/>
    <w:rsid w:val="00B41F4E"/>
    <w:rsid w:val="00B428B5"/>
    <w:rsid w:val="00B44D59"/>
    <w:rsid w:val="00B44F95"/>
    <w:rsid w:val="00B45DED"/>
    <w:rsid w:val="00B463E2"/>
    <w:rsid w:val="00B506DD"/>
    <w:rsid w:val="00B52F9E"/>
    <w:rsid w:val="00B53173"/>
    <w:rsid w:val="00B5338C"/>
    <w:rsid w:val="00B53ACA"/>
    <w:rsid w:val="00B545F5"/>
    <w:rsid w:val="00B55A6F"/>
    <w:rsid w:val="00B5607F"/>
    <w:rsid w:val="00B56183"/>
    <w:rsid w:val="00B574F6"/>
    <w:rsid w:val="00B57A22"/>
    <w:rsid w:val="00B619AF"/>
    <w:rsid w:val="00B61D7D"/>
    <w:rsid w:val="00B61FBA"/>
    <w:rsid w:val="00B62A4C"/>
    <w:rsid w:val="00B633BB"/>
    <w:rsid w:val="00B65025"/>
    <w:rsid w:val="00B65C2B"/>
    <w:rsid w:val="00B660C4"/>
    <w:rsid w:val="00B66C80"/>
    <w:rsid w:val="00B71473"/>
    <w:rsid w:val="00B71835"/>
    <w:rsid w:val="00B71931"/>
    <w:rsid w:val="00B72B8B"/>
    <w:rsid w:val="00B72BAF"/>
    <w:rsid w:val="00B7306A"/>
    <w:rsid w:val="00B73F48"/>
    <w:rsid w:val="00B74171"/>
    <w:rsid w:val="00B75945"/>
    <w:rsid w:val="00B76A22"/>
    <w:rsid w:val="00B776CA"/>
    <w:rsid w:val="00B77B74"/>
    <w:rsid w:val="00B80118"/>
    <w:rsid w:val="00B80441"/>
    <w:rsid w:val="00B83E2B"/>
    <w:rsid w:val="00B84A71"/>
    <w:rsid w:val="00B84DBD"/>
    <w:rsid w:val="00B853C5"/>
    <w:rsid w:val="00B87DFA"/>
    <w:rsid w:val="00B907C8"/>
    <w:rsid w:val="00B935C1"/>
    <w:rsid w:val="00B9438B"/>
    <w:rsid w:val="00B94FC3"/>
    <w:rsid w:val="00B956A9"/>
    <w:rsid w:val="00B95A6C"/>
    <w:rsid w:val="00B96E0B"/>
    <w:rsid w:val="00B97DD9"/>
    <w:rsid w:val="00BA07E8"/>
    <w:rsid w:val="00BA1CA5"/>
    <w:rsid w:val="00BA1DE7"/>
    <w:rsid w:val="00BA66A0"/>
    <w:rsid w:val="00BA682B"/>
    <w:rsid w:val="00BA7D1D"/>
    <w:rsid w:val="00BA7FB0"/>
    <w:rsid w:val="00BB0A0D"/>
    <w:rsid w:val="00BB18B8"/>
    <w:rsid w:val="00BB34AF"/>
    <w:rsid w:val="00BB4157"/>
    <w:rsid w:val="00BB454C"/>
    <w:rsid w:val="00BB4A1B"/>
    <w:rsid w:val="00BB4E5F"/>
    <w:rsid w:val="00BB5497"/>
    <w:rsid w:val="00BB5907"/>
    <w:rsid w:val="00BB5D40"/>
    <w:rsid w:val="00BB5E55"/>
    <w:rsid w:val="00BB65F0"/>
    <w:rsid w:val="00BB674D"/>
    <w:rsid w:val="00BC1F66"/>
    <w:rsid w:val="00BC401D"/>
    <w:rsid w:val="00BC487D"/>
    <w:rsid w:val="00BC4FD8"/>
    <w:rsid w:val="00BD14DF"/>
    <w:rsid w:val="00BD165D"/>
    <w:rsid w:val="00BD1962"/>
    <w:rsid w:val="00BD1C02"/>
    <w:rsid w:val="00BD1DD2"/>
    <w:rsid w:val="00BD29EF"/>
    <w:rsid w:val="00BD2D36"/>
    <w:rsid w:val="00BD48A4"/>
    <w:rsid w:val="00BD49F7"/>
    <w:rsid w:val="00BD5558"/>
    <w:rsid w:val="00BD5C7F"/>
    <w:rsid w:val="00BD7BA4"/>
    <w:rsid w:val="00BE127F"/>
    <w:rsid w:val="00BE1A03"/>
    <w:rsid w:val="00BE2EFF"/>
    <w:rsid w:val="00BE3EB4"/>
    <w:rsid w:val="00BE57D3"/>
    <w:rsid w:val="00BE64EA"/>
    <w:rsid w:val="00BE7088"/>
    <w:rsid w:val="00BE77B1"/>
    <w:rsid w:val="00BF0557"/>
    <w:rsid w:val="00BF4807"/>
    <w:rsid w:val="00BF4C2F"/>
    <w:rsid w:val="00BF67BB"/>
    <w:rsid w:val="00BF76DF"/>
    <w:rsid w:val="00C0042A"/>
    <w:rsid w:val="00C00439"/>
    <w:rsid w:val="00C008A2"/>
    <w:rsid w:val="00C02BDE"/>
    <w:rsid w:val="00C03A69"/>
    <w:rsid w:val="00C041CC"/>
    <w:rsid w:val="00C04936"/>
    <w:rsid w:val="00C055EC"/>
    <w:rsid w:val="00C0588D"/>
    <w:rsid w:val="00C06DCC"/>
    <w:rsid w:val="00C10853"/>
    <w:rsid w:val="00C10B09"/>
    <w:rsid w:val="00C1242D"/>
    <w:rsid w:val="00C12498"/>
    <w:rsid w:val="00C1353A"/>
    <w:rsid w:val="00C1475E"/>
    <w:rsid w:val="00C15393"/>
    <w:rsid w:val="00C159F1"/>
    <w:rsid w:val="00C1702B"/>
    <w:rsid w:val="00C17231"/>
    <w:rsid w:val="00C17E20"/>
    <w:rsid w:val="00C21AF4"/>
    <w:rsid w:val="00C21B9A"/>
    <w:rsid w:val="00C2355F"/>
    <w:rsid w:val="00C23887"/>
    <w:rsid w:val="00C23CC6"/>
    <w:rsid w:val="00C25C45"/>
    <w:rsid w:val="00C25C61"/>
    <w:rsid w:val="00C274E2"/>
    <w:rsid w:val="00C31047"/>
    <w:rsid w:val="00C31853"/>
    <w:rsid w:val="00C32146"/>
    <w:rsid w:val="00C32B9C"/>
    <w:rsid w:val="00C32F8B"/>
    <w:rsid w:val="00C35118"/>
    <w:rsid w:val="00C36800"/>
    <w:rsid w:val="00C37299"/>
    <w:rsid w:val="00C378FC"/>
    <w:rsid w:val="00C37CDB"/>
    <w:rsid w:val="00C37F66"/>
    <w:rsid w:val="00C4095A"/>
    <w:rsid w:val="00C40D42"/>
    <w:rsid w:val="00C41CC6"/>
    <w:rsid w:val="00C420CB"/>
    <w:rsid w:val="00C420DF"/>
    <w:rsid w:val="00C4239E"/>
    <w:rsid w:val="00C42F18"/>
    <w:rsid w:val="00C42FCE"/>
    <w:rsid w:val="00C431F1"/>
    <w:rsid w:val="00C43722"/>
    <w:rsid w:val="00C43DBC"/>
    <w:rsid w:val="00C440B7"/>
    <w:rsid w:val="00C449D9"/>
    <w:rsid w:val="00C46596"/>
    <w:rsid w:val="00C46DF3"/>
    <w:rsid w:val="00C47A6C"/>
    <w:rsid w:val="00C47BFF"/>
    <w:rsid w:val="00C5050B"/>
    <w:rsid w:val="00C50B87"/>
    <w:rsid w:val="00C50E7B"/>
    <w:rsid w:val="00C51BDB"/>
    <w:rsid w:val="00C528D5"/>
    <w:rsid w:val="00C538A0"/>
    <w:rsid w:val="00C53D0D"/>
    <w:rsid w:val="00C546E3"/>
    <w:rsid w:val="00C54851"/>
    <w:rsid w:val="00C559A4"/>
    <w:rsid w:val="00C5693A"/>
    <w:rsid w:val="00C60005"/>
    <w:rsid w:val="00C607EE"/>
    <w:rsid w:val="00C626C6"/>
    <w:rsid w:val="00C62D4F"/>
    <w:rsid w:val="00C65058"/>
    <w:rsid w:val="00C655A1"/>
    <w:rsid w:val="00C6649D"/>
    <w:rsid w:val="00C6686C"/>
    <w:rsid w:val="00C67E20"/>
    <w:rsid w:val="00C70AE8"/>
    <w:rsid w:val="00C7115A"/>
    <w:rsid w:val="00C71ABB"/>
    <w:rsid w:val="00C71CB8"/>
    <w:rsid w:val="00C72F22"/>
    <w:rsid w:val="00C7427E"/>
    <w:rsid w:val="00C7474B"/>
    <w:rsid w:val="00C753BF"/>
    <w:rsid w:val="00C76A45"/>
    <w:rsid w:val="00C77790"/>
    <w:rsid w:val="00C80E7C"/>
    <w:rsid w:val="00C820FD"/>
    <w:rsid w:val="00C82162"/>
    <w:rsid w:val="00C8532C"/>
    <w:rsid w:val="00C859A6"/>
    <w:rsid w:val="00C867A6"/>
    <w:rsid w:val="00C87D11"/>
    <w:rsid w:val="00C87E80"/>
    <w:rsid w:val="00C90603"/>
    <w:rsid w:val="00C91FBC"/>
    <w:rsid w:val="00C935E3"/>
    <w:rsid w:val="00C93D1F"/>
    <w:rsid w:val="00C94AF8"/>
    <w:rsid w:val="00C9628C"/>
    <w:rsid w:val="00C9652F"/>
    <w:rsid w:val="00C97863"/>
    <w:rsid w:val="00CA04AC"/>
    <w:rsid w:val="00CA07DF"/>
    <w:rsid w:val="00CA091E"/>
    <w:rsid w:val="00CA0F5E"/>
    <w:rsid w:val="00CA19E6"/>
    <w:rsid w:val="00CA1B1F"/>
    <w:rsid w:val="00CA2628"/>
    <w:rsid w:val="00CA3022"/>
    <w:rsid w:val="00CA3908"/>
    <w:rsid w:val="00CA44D1"/>
    <w:rsid w:val="00CA5A27"/>
    <w:rsid w:val="00CB3B80"/>
    <w:rsid w:val="00CB5673"/>
    <w:rsid w:val="00CB61BF"/>
    <w:rsid w:val="00CB6384"/>
    <w:rsid w:val="00CB642F"/>
    <w:rsid w:val="00CB6871"/>
    <w:rsid w:val="00CB6DE1"/>
    <w:rsid w:val="00CB78F8"/>
    <w:rsid w:val="00CC0952"/>
    <w:rsid w:val="00CC0D2F"/>
    <w:rsid w:val="00CC157A"/>
    <w:rsid w:val="00CC18B3"/>
    <w:rsid w:val="00CC226F"/>
    <w:rsid w:val="00CC298C"/>
    <w:rsid w:val="00CC2FAF"/>
    <w:rsid w:val="00CC39F6"/>
    <w:rsid w:val="00CC3AF6"/>
    <w:rsid w:val="00CC531C"/>
    <w:rsid w:val="00CC5476"/>
    <w:rsid w:val="00CC5ABD"/>
    <w:rsid w:val="00CC5EAC"/>
    <w:rsid w:val="00CC62AD"/>
    <w:rsid w:val="00CC672A"/>
    <w:rsid w:val="00CC6C44"/>
    <w:rsid w:val="00CC6D90"/>
    <w:rsid w:val="00CC770A"/>
    <w:rsid w:val="00CD0128"/>
    <w:rsid w:val="00CD09BC"/>
    <w:rsid w:val="00CD28EE"/>
    <w:rsid w:val="00CD4069"/>
    <w:rsid w:val="00CD4906"/>
    <w:rsid w:val="00CD49C3"/>
    <w:rsid w:val="00CD4A1A"/>
    <w:rsid w:val="00CD5701"/>
    <w:rsid w:val="00CD5E41"/>
    <w:rsid w:val="00CD6A25"/>
    <w:rsid w:val="00CD6C59"/>
    <w:rsid w:val="00CD6EA8"/>
    <w:rsid w:val="00CE1EF3"/>
    <w:rsid w:val="00CE256E"/>
    <w:rsid w:val="00CE2B48"/>
    <w:rsid w:val="00CE30BB"/>
    <w:rsid w:val="00CE3476"/>
    <w:rsid w:val="00CE348D"/>
    <w:rsid w:val="00CE50EA"/>
    <w:rsid w:val="00CE5A47"/>
    <w:rsid w:val="00CE7E4F"/>
    <w:rsid w:val="00CF1288"/>
    <w:rsid w:val="00CF1DED"/>
    <w:rsid w:val="00CF41EC"/>
    <w:rsid w:val="00CF57C7"/>
    <w:rsid w:val="00CF5A46"/>
    <w:rsid w:val="00CF5B05"/>
    <w:rsid w:val="00D00942"/>
    <w:rsid w:val="00D02625"/>
    <w:rsid w:val="00D036BE"/>
    <w:rsid w:val="00D0373B"/>
    <w:rsid w:val="00D038FB"/>
    <w:rsid w:val="00D041B0"/>
    <w:rsid w:val="00D047D1"/>
    <w:rsid w:val="00D04866"/>
    <w:rsid w:val="00D04C80"/>
    <w:rsid w:val="00D05A56"/>
    <w:rsid w:val="00D067DF"/>
    <w:rsid w:val="00D073EC"/>
    <w:rsid w:val="00D07445"/>
    <w:rsid w:val="00D07AAA"/>
    <w:rsid w:val="00D1082B"/>
    <w:rsid w:val="00D10C98"/>
    <w:rsid w:val="00D10CFD"/>
    <w:rsid w:val="00D118C4"/>
    <w:rsid w:val="00D12C49"/>
    <w:rsid w:val="00D13155"/>
    <w:rsid w:val="00D14381"/>
    <w:rsid w:val="00D155E2"/>
    <w:rsid w:val="00D15A99"/>
    <w:rsid w:val="00D16555"/>
    <w:rsid w:val="00D16DC0"/>
    <w:rsid w:val="00D172D1"/>
    <w:rsid w:val="00D202E7"/>
    <w:rsid w:val="00D209B5"/>
    <w:rsid w:val="00D20DBA"/>
    <w:rsid w:val="00D20EDA"/>
    <w:rsid w:val="00D2121F"/>
    <w:rsid w:val="00D217D6"/>
    <w:rsid w:val="00D22706"/>
    <w:rsid w:val="00D227AC"/>
    <w:rsid w:val="00D2338D"/>
    <w:rsid w:val="00D235A0"/>
    <w:rsid w:val="00D24987"/>
    <w:rsid w:val="00D255B3"/>
    <w:rsid w:val="00D27250"/>
    <w:rsid w:val="00D3011E"/>
    <w:rsid w:val="00D303B5"/>
    <w:rsid w:val="00D30C72"/>
    <w:rsid w:val="00D30D0E"/>
    <w:rsid w:val="00D32F41"/>
    <w:rsid w:val="00D33A48"/>
    <w:rsid w:val="00D34E64"/>
    <w:rsid w:val="00D36C8A"/>
    <w:rsid w:val="00D40C9C"/>
    <w:rsid w:val="00D40FC3"/>
    <w:rsid w:val="00D417BA"/>
    <w:rsid w:val="00D42BD7"/>
    <w:rsid w:val="00D434D4"/>
    <w:rsid w:val="00D437F9"/>
    <w:rsid w:val="00D442CD"/>
    <w:rsid w:val="00D45BB6"/>
    <w:rsid w:val="00D45CCC"/>
    <w:rsid w:val="00D45E75"/>
    <w:rsid w:val="00D46DC0"/>
    <w:rsid w:val="00D47790"/>
    <w:rsid w:val="00D47DDD"/>
    <w:rsid w:val="00D47E83"/>
    <w:rsid w:val="00D506F1"/>
    <w:rsid w:val="00D50E34"/>
    <w:rsid w:val="00D516F4"/>
    <w:rsid w:val="00D55D04"/>
    <w:rsid w:val="00D56240"/>
    <w:rsid w:val="00D60330"/>
    <w:rsid w:val="00D62678"/>
    <w:rsid w:val="00D62D2F"/>
    <w:rsid w:val="00D66550"/>
    <w:rsid w:val="00D66ADA"/>
    <w:rsid w:val="00D66ADF"/>
    <w:rsid w:val="00D70853"/>
    <w:rsid w:val="00D708B4"/>
    <w:rsid w:val="00D70B20"/>
    <w:rsid w:val="00D71630"/>
    <w:rsid w:val="00D7646D"/>
    <w:rsid w:val="00D777D0"/>
    <w:rsid w:val="00D80012"/>
    <w:rsid w:val="00D802C4"/>
    <w:rsid w:val="00D80655"/>
    <w:rsid w:val="00D807F0"/>
    <w:rsid w:val="00D80E70"/>
    <w:rsid w:val="00D81F85"/>
    <w:rsid w:val="00D82406"/>
    <w:rsid w:val="00D828E6"/>
    <w:rsid w:val="00D84536"/>
    <w:rsid w:val="00D846F7"/>
    <w:rsid w:val="00D8471C"/>
    <w:rsid w:val="00D87DB1"/>
    <w:rsid w:val="00D905DE"/>
    <w:rsid w:val="00D928F7"/>
    <w:rsid w:val="00D94617"/>
    <w:rsid w:val="00D948E5"/>
    <w:rsid w:val="00D9587B"/>
    <w:rsid w:val="00D95E0C"/>
    <w:rsid w:val="00D9629A"/>
    <w:rsid w:val="00D96755"/>
    <w:rsid w:val="00D9713A"/>
    <w:rsid w:val="00D97163"/>
    <w:rsid w:val="00D97432"/>
    <w:rsid w:val="00D97B75"/>
    <w:rsid w:val="00D97CAF"/>
    <w:rsid w:val="00DA10C6"/>
    <w:rsid w:val="00DA1C2D"/>
    <w:rsid w:val="00DA233C"/>
    <w:rsid w:val="00DA3DE0"/>
    <w:rsid w:val="00DA6DCB"/>
    <w:rsid w:val="00DB0D0A"/>
    <w:rsid w:val="00DB14F5"/>
    <w:rsid w:val="00DB15F7"/>
    <w:rsid w:val="00DB19CA"/>
    <w:rsid w:val="00DB40DA"/>
    <w:rsid w:val="00DB4EE5"/>
    <w:rsid w:val="00DB71C9"/>
    <w:rsid w:val="00DC0255"/>
    <w:rsid w:val="00DC0883"/>
    <w:rsid w:val="00DC0951"/>
    <w:rsid w:val="00DC1332"/>
    <w:rsid w:val="00DC3520"/>
    <w:rsid w:val="00DC4666"/>
    <w:rsid w:val="00DC4D70"/>
    <w:rsid w:val="00DC5739"/>
    <w:rsid w:val="00DC6EBB"/>
    <w:rsid w:val="00DC7994"/>
    <w:rsid w:val="00DC79EB"/>
    <w:rsid w:val="00DD0A9E"/>
    <w:rsid w:val="00DD27A1"/>
    <w:rsid w:val="00DD2AEE"/>
    <w:rsid w:val="00DD2BE9"/>
    <w:rsid w:val="00DD2EEB"/>
    <w:rsid w:val="00DD316F"/>
    <w:rsid w:val="00DD41E2"/>
    <w:rsid w:val="00DD44E2"/>
    <w:rsid w:val="00DD672F"/>
    <w:rsid w:val="00DD67A3"/>
    <w:rsid w:val="00DE122C"/>
    <w:rsid w:val="00DE2B40"/>
    <w:rsid w:val="00DE2D9C"/>
    <w:rsid w:val="00DE4504"/>
    <w:rsid w:val="00DE454B"/>
    <w:rsid w:val="00DE47C8"/>
    <w:rsid w:val="00DE7188"/>
    <w:rsid w:val="00DE7204"/>
    <w:rsid w:val="00DE76E5"/>
    <w:rsid w:val="00DF060B"/>
    <w:rsid w:val="00DF1125"/>
    <w:rsid w:val="00DF4822"/>
    <w:rsid w:val="00DF5A2A"/>
    <w:rsid w:val="00DF601C"/>
    <w:rsid w:val="00E01E5A"/>
    <w:rsid w:val="00E03292"/>
    <w:rsid w:val="00E03980"/>
    <w:rsid w:val="00E03DDC"/>
    <w:rsid w:val="00E03EE7"/>
    <w:rsid w:val="00E03FF2"/>
    <w:rsid w:val="00E04066"/>
    <w:rsid w:val="00E040A3"/>
    <w:rsid w:val="00E05A1D"/>
    <w:rsid w:val="00E0628B"/>
    <w:rsid w:val="00E0704C"/>
    <w:rsid w:val="00E073DE"/>
    <w:rsid w:val="00E10007"/>
    <w:rsid w:val="00E11D95"/>
    <w:rsid w:val="00E13289"/>
    <w:rsid w:val="00E153D9"/>
    <w:rsid w:val="00E15B47"/>
    <w:rsid w:val="00E171CD"/>
    <w:rsid w:val="00E17353"/>
    <w:rsid w:val="00E17A54"/>
    <w:rsid w:val="00E21C32"/>
    <w:rsid w:val="00E23366"/>
    <w:rsid w:val="00E23658"/>
    <w:rsid w:val="00E26344"/>
    <w:rsid w:val="00E2681E"/>
    <w:rsid w:val="00E318D8"/>
    <w:rsid w:val="00E32FBA"/>
    <w:rsid w:val="00E33A9C"/>
    <w:rsid w:val="00E34EBD"/>
    <w:rsid w:val="00E34F51"/>
    <w:rsid w:val="00E36E9B"/>
    <w:rsid w:val="00E37B0B"/>
    <w:rsid w:val="00E426B3"/>
    <w:rsid w:val="00E43FC0"/>
    <w:rsid w:val="00E447AE"/>
    <w:rsid w:val="00E44810"/>
    <w:rsid w:val="00E46052"/>
    <w:rsid w:val="00E469E2"/>
    <w:rsid w:val="00E5046E"/>
    <w:rsid w:val="00E5051F"/>
    <w:rsid w:val="00E50F7C"/>
    <w:rsid w:val="00E5109A"/>
    <w:rsid w:val="00E51DDA"/>
    <w:rsid w:val="00E528D9"/>
    <w:rsid w:val="00E530D9"/>
    <w:rsid w:val="00E5322C"/>
    <w:rsid w:val="00E5326A"/>
    <w:rsid w:val="00E557C4"/>
    <w:rsid w:val="00E557E9"/>
    <w:rsid w:val="00E558CD"/>
    <w:rsid w:val="00E56FED"/>
    <w:rsid w:val="00E60903"/>
    <w:rsid w:val="00E60CC0"/>
    <w:rsid w:val="00E61B09"/>
    <w:rsid w:val="00E61C41"/>
    <w:rsid w:val="00E62189"/>
    <w:rsid w:val="00E6293A"/>
    <w:rsid w:val="00E630F1"/>
    <w:rsid w:val="00E637EA"/>
    <w:rsid w:val="00E6477C"/>
    <w:rsid w:val="00E64C07"/>
    <w:rsid w:val="00E6623D"/>
    <w:rsid w:val="00E66303"/>
    <w:rsid w:val="00E70E8E"/>
    <w:rsid w:val="00E71674"/>
    <w:rsid w:val="00E722FD"/>
    <w:rsid w:val="00E72CB6"/>
    <w:rsid w:val="00E73D36"/>
    <w:rsid w:val="00E73DF4"/>
    <w:rsid w:val="00E7455F"/>
    <w:rsid w:val="00E74BE0"/>
    <w:rsid w:val="00E75DE8"/>
    <w:rsid w:val="00E76571"/>
    <w:rsid w:val="00E77334"/>
    <w:rsid w:val="00E800A5"/>
    <w:rsid w:val="00E80D48"/>
    <w:rsid w:val="00E80DAD"/>
    <w:rsid w:val="00E80F53"/>
    <w:rsid w:val="00E8257E"/>
    <w:rsid w:val="00E82696"/>
    <w:rsid w:val="00E8360F"/>
    <w:rsid w:val="00E84576"/>
    <w:rsid w:val="00E84CA1"/>
    <w:rsid w:val="00E854AF"/>
    <w:rsid w:val="00E879ED"/>
    <w:rsid w:val="00E87DE9"/>
    <w:rsid w:val="00E90085"/>
    <w:rsid w:val="00E9087F"/>
    <w:rsid w:val="00E914F9"/>
    <w:rsid w:val="00E91E24"/>
    <w:rsid w:val="00E91E4A"/>
    <w:rsid w:val="00E95EE6"/>
    <w:rsid w:val="00EA04ED"/>
    <w:rsid w:val="00EA2319"/>
    <w:rsid w:val="00EA4E14"/>
    <w:rsid w:val="00EA6BB1"/>
    <w:rsid w:val="00EA7185"/>
    <w:rsid w:val="00EB05C6"/>
    <w:rsid w:val="00EB290D"/>
    <w:rsid w:val="00EB342A"/>
    <w:rsid w:val="00EB3DFC"/>
    <w:rsid w:val="00EB4277"/>
    <w:rsid w:val="00EB4537"/>
    <w:rsid w:val="00EB46FD"/>
    <w:rsid w:val="00EB5CDE"/>
    <w:rsid w:val="00EB73FB"/>
    <w:rsid w:val="00EB7D4A"/>
    <w:rsid w:val="00EC1390"/>
    <w:rsid w:val="00EC19F9"/>
    <w:rsid w:val="00EC340A"/>
    <w:rsid w:val="00EC34FF"/>
    <w:rsid w:val="00EC3581"/>
    <w:rsid w:val="00EC45A6"/>
    <w:rsid w:val="00EC60A8"/>
    <w:rsid w:val="00EC7A69"/>
    <w:rsid w:val="00ED01F3"/>
    <w:rsid w:val="00ED0B5F"/>
    <w:rsid w:val="00ED1F7E"/>
    <w:rsid w:val="00ED27AF"/>
    <w:rsid w:val="00ED3089"/>
    <w:rsid w:val="00ED5F6E"/>
    <w:rsid w:val="00ED66D8"/>
    <w:rsid w:val="00ED6A46"/>
    <w:rsid w:val="00ED6F60"/>
    <w:rsid w:val="00ED7D05"/>
    <w:rsid w:val="00EE05BF"/>
    <w:rsid w:val="00EE0667"/>
    <w:rsid w:val="00EE0B9D"/>
    <w:rsid w:val="00EE2751"/>
    <w:rsid w:val="00EE34F1"/>
    <w:rsid w:val="00EE4752"/>
    <w:rsid w:val="00EE4EED"/>
    <w:rsid w:val="00EE508E"/>
    <w:rsid w:val="00EE5257"/>
    <w:rsid w:val="00EE5951"/>
    <w:rsid w:val="00EE5B26"/>
    <w:rsid w:val="00EE687F"/>
    <w:rsid w:val="00EE7274"/>
    <w:rsid w:val="00EE7401"/>
    <w:rsid w:val="00EF1507"/>
    <w:rsid w:val="00EF180D"/>
    <w:rsid w:val="00EF2E17"/>
    <w:rsid w:val="00EF2E85"/>
    <w:rsid w:val="00EF6A44"/>
    <w:rsid w:val="00EF6DA1"/>
    <w:rsid w:val="00EF6F98"/>
    <w:rsid w:val="00F00D42"/>
    <w:rsid w:val="00F01670"/>
    <w:rsid w:val="00F02186"/>
    <w:rsid w:val="00F02B64"/>
    <w:rsid w:val="00F03C7A"/>
    <w:rsid w:val="00F050A1"/>
    <w:rsid w:val="00F05AD9"/>
    <w:rsid w:val="00F068A6"/>
    <w:rsid w:val="00F07F67"/>
    <w:rsid w:val="00F1416B"/>
    <w:rsid w:val="00F146D7"/>
    <w:rsid w:val="00F15080"/>
    <w:rsid w:val="00F1528C"/>
    <w:rsid w:val="00F16DD3"/>
    <w:rsid w:val="00F17FDE"/>
    <w:rsid w:val="00F200CD"/>
    <w:rsid w:val="00F25392"/>
    <w:rsid w:val="00F259D0"/>
    <w:rsid w:val="00F26AE3"/>
    <w:rsid w:val="00F279F3"/>
    <w:rsid w:val="00F27E74"/>
    <w:rsid w:val="00F31533"/>
    <w:rsid w:val="00F315D4"/>
    <w:rsid w:val="00F31608"/>
    <w:rsid w:val="00F31C4A"/>
    <w:rsid w:val="00F33EBE"/>
    <w:rsid w:val="00F340EB"/>
    <w:rsid w:val="00F343C9"/>
    <w:rsid w:val="00F34E2A"/>
    <w:rsid w:val="00F35D5A"/>
    <w:rsid w:val="00F35E1C"/>
    <w:rsid w:val="00F35FCF"/>
    <w:rsid w:val="00F3663B"/>
    <w:rsid w:val="00F36F7D"/>
    <w:rsid w:val="00F41388"/>
    <w:rsid w:val="00F4269A"/>
    <w:rsid w:val="00F43224"/>
    <w:rsid w:val="00F435F2"/>
    <w:rsid w:val="00F44E88"/>
    <w:rsid w:val="00F45DB3"/>
    <w:rsid w:val="00F45E4D"/>
    <w:rsid w:val="00F4642B"/>
    <w:rsid w:val="00F46AA8"/>
    <w:rsid w:val="00F47451"/>
    <w:rsid w:val="00F50707"/>
    <w:rsid w:val="00F50DE6"/>
    <w:rsid w:val="00F52E12"/>
    <w:rsid w:val="00F53417"/>
    <w:rsid w:val="00F566C2"/>
    <w:rsid w:val="00F56828"/>
    <w:rsid w:val="00F5684C"/>
    <w:rsid w:val="00F568DE"/>
    <w:rsid w:val="00F60220"/>
    <w:rsid w:val="00F60806"/>
    <w:rsid w:val="00F61EA5"/>
    <w:rsid w:val="00F61FFC"/>
    <w:rsid w:val="00F62417"/>
    <w:rsid w:val="00F63F4C"/>
    <w:rsid w:val="00F6499C"/>
    <w:rsid w:val="00F64BD0"/>
    <w:rsid w:val="00F6689B"/>
    <w:rsid w:val="00F67079"/>
    <w:rsid w:val="00F672A0"/>
    <w:rsid w:val="00F704D9"/>
    <w:rsid w:val="00F709C6"/>
    <w:rsid w:val="00F728BB"/>
    <w:rsid w:val="00F72B67"/>
    <w:rsid w:val="00F73DDD"/>
    <w:rsid w:val="00F74A34"/>
    <w:rsid w:val="00F759E0"/>
    <w:rsid w:val="00F77380"/>
    <w:rsid w:val="00F779CF"/>
    <w:rsid w:val="00F814E6"/>
    <w:rsid w:val="00F83E66"/>
    <w:rsid w:val="00F84070"/>
    <w:rsid w:val="00F84077"/>
    <w:rsid w:val="00F8636E"/>
    <w:rsid w:val="00F871BB"/>
    <w:rsid w:val="00F91333"/>
    <w:rsid w:val="00F91981"/>
    <w:rsid w:val="00F91D54"/>
    <w:rsid w:val="00F93445"/>
    <w:rsid w:val="00F949D4"/>
    <w:rsid w:val="00F951CD"/>
    <w:rsid w:val="00F95CB8"/>
    <w:rsid w:val="00F96EFB"/>
    <w:rsid w:val="00FA0023"/>
    <w:rsid w:val="00FA00DF"/>
    <w:rsid w:val="00FA3139"/>
    <w:rsid w:val="00FA4B16"/>
    <w:rsid w:val="00FA4C00"/>
    <w:rsid w:val="00FA5139"/>
    <w:rsid w:val="00FA5E61"/>
    <w:rsid w:val="00FB098D"/>
    <w:rsid w:val="00FB2D81"/>
    <w:rsid w:val="00FB398B"/>
    <w:rsid w:val="00FB3AC8"/>
    <w:rsid w:val="00FB3CEE"/>
    <w:rsid w:val="00FB5557"/>
    <w:rsid w:val="00FB58E2"/>
    <w:rsid w:val="00FB7294"/>
    <w:rsid w:val="00FB7F3B"/>
    <w:rsid w:val="00FC047F"/>
    <w:rsid w:val="00FC09EF"/>
    <w:rsid w:val="00FC0A56"/>
    <w:rsid w:val="00FC0A60"/>
    <w:rsid w:val="00FC0A8A"/>
    <w:rsid w:val="00FC15BF"/>
    <w:rsid w:val="00FC1AB1"/>
    <w:rsid w:val="00FC298E"/>
    <w:rsid w:val="00FC3C27"/>
    <w:rsid w:val="00FC62FD"/>
    <w:rsid w:val="00FC716D"/>
    <w:rsid w:val="00FC7457"/>
    <w:rsid w:val="00FC74F4"/>
    <w:rsid w:val="00FD0583"/>
    <w:rsid w:val="00FD330C"/>
    <w:rsid w:val="00FD3686"/>
    <w:rsid w:val="00FD3709"/>
    <w:rsid w:val="00FD3754"/>
    <w:rsid w:val="00FD3D89"/>
    <w:rsid w:val="00FD4EE3"/>
    <w:rsid w:val="00FD500C"/>
    <w:rsid w:val="00FD546A"/>
    <w:rsid w:val="00FD625D"/>
    <w:rsid w:val="00FD71B8"/>
    <w:rsid w:val="00FD74DA"/>
    <w:rsid w:val="00FD762B"/>
    <w:rsid w:val="00FD7DA6"/>
    <w:rsid w:val="00FE1842"/>
    <w:rsid w:val="00FE1AE2"/>
    <w:rsid w:val="00FE287E"/>
    <w:rsid w:val="00FE36B6"/>
    <w:rsid w:val="00FE6DE0"/>
    <w:rsid w:val="00FE7A81"/>
    <w:rsid w:val="00FE7B99"/>
    <w:rsid w:val="00FF0034"/>
    <w:rsid w:val="00FF1BC0"/>
    <w:rsid w:val="00FF259A"/>
    <w:rsid w:val="00FF2701"/>
    <w:rsid w:val="00FF2DB7"/>
    <w:rsid w:val="00FF4537"/>
    <w:rsid w:val="00FF4615"/>
    <w:rsid w:val="00FF509E"/>
    <w:rsid w:val="00FF5F04"/>
    <w:rsid w:val="00FF61B2"/>
    <w:rsid w:val="00FF6880"/>
    <w:rsid w:val="00FF6AB6"/>
    <w:rsid w:val="00FF6AE2"/>
    <w:rsid w:val="00FF6CE6"/>
    <w:rsid w:val="00FF7E22"/>
    <w:rsid w:val="2E35F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bbd5dc,#fff797"/>
    </o:shapedefaults>
    <o:shapelayout v:ext="edit">
      <o:idmap v:ext="edit" data="1"/>
    </o:shapelayout>
  </w:shapeDefaults>
  <w:decimalSymbol w:val="."/>
  <w:listSeparator w:val=","/>
  <w14:docId w14:val="3CECA73D"/>
  <w15:chartTrackingRefBased/>
  <w15:docId w15:val="{F56C0CFC-3BA3-4490-8039-822601C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4D0"/>
    <w:pPr>
      <w:shd w:val="clear" w:color="FFFFFF" w:themeColor="background1" w:fill="auto"/>
      <w:tabs>
        <w:tab w:val="right" w:pos="720"/>
        <w:tab w:val="right" w:pos="9360"/>
      </w:tabs>
      <w:spacing w:after="240" w:line="240" w:lineRule="auto"/>
    </w:pPr>
    <w:rPr>
      <w:rFonts w:ascii="Arial" w:hAnsi="Arial" w:cs="Arial"/>
      <w:sz w:val="24"/>
      <w:szCs w:val="24"/>
    </w:rPr>
  </w:style>
  <w:style w:type="paragraph" w:styleId="Heading1">
    <w:name w:val="heading 1"/>
    <w:basedOn w:val="ListParagraph"/>
    <w:next w:val="Normal"/>
    <w:link w:val="Heading1Char"/>
    <w:uiPriority w:val="9"/>
    <w:qFormat/>
    <w:rsid w:val="00CA2628"/>
    <w:pPr>
      <w:spacing w:after="360"/>
      <w:ind w:right="720"/>
      <w:jc w:val="center"/>
      <w:outlineLvl w:val="0"/>
    </w:pPr>
    <w:rPr>
      <w:rFonts w:ascii="Gulim" w:eastAsia="Gulim" w:hAnsi="Gulim"/>
      <w:b/>
      <w:color w:val="00A0AF"/>
      <w:sz w:val="52"/>
      <w:szCs w:val="52"/>
    </w:rPr>
  </w:style>
  <w:style w:type="paragraph" w:styleId="Heading2">
    <w:name w:val="heading 2"/>
    <w:basedOn w:val="Normal"/>
    <w:next w:val="Normal"/>
    <w:link w:val="Heading2Char"/>
    <w:uiPriority w:val="9"/>
    <w:unhideWhenUsed/>
    <w:qFormat/>
    <w:rsid w:val="00183A2C"/>
    <w:pPr>
      <w:spacing w:after="220"/>
      <w:outlineLvl w:val="1"/>
    </w:pPr>
    <w:rPr>
      <w:rFonts w:eastAsia="Gulim"/>
      <w:b/>
      <w:color w:val="00A0AF"/>
      <w:sz w:val="22"/>
      <w:szCs w:val="22"/>
    </w:rPr>
  </w:style>
  <w:style w:type="paragraph" w:styleId="Heading3">
    <w:name w:val="heading 3"/>
    <w:basedOn w:val="Normal"/>
    <w:next w:val="Normal"/>
    <w:link w:val="Heading3Char"/>
    <w:uiPriority w:val="9"/>
    <w:unhideWhenUsed/>
    <w:qFormat/>
    <w:rsid w:val="00183A2C"/>
    <w:pPr>
      <w:tabs>
        <w:tab w:val="left" w:pos="720"/>
      </w:tabs>
      <w:spacing w:after="220"/>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278"/>
    <w:pPr>
      <w:ind w:left="720"/>
      <w:contextualSpacing/>
    </w:pPr>
  </w:style>
  <w:style w:type="paragraph" w:styleId="Header">
    <w:name w:val="header"/>
    <w:basedOn w:val="Normal"/>
    <w:link w:val="HeaderChar"/>
    <w:uiPriority w:val="99"/>
    <w:unhideWhenUsed/>
    <w:rsid w:val="00C274E2"/>
    <w:pPr>
      <w:tabs>
        <w:tab w:val="center" w:pos="4680"/>
      </w:tabs>
      <w:spacing w:after="0"/>
    </w:pPr>
  </w:style>
  <w:style w:type="character" w:customStyle="1" w:styleId="HeaderChar">
    <w:name w:val="Header Char"/>
    <w:basedOn w:val="DefaultParagraphFont"/>
    <w:link w:val="Header"/>
    <w:uiPriority w:val="99"/>
    <w:rsid w:val="00C274E2"/>
  </w:style>
  <w:style w:type="paragraph" w:styleId="Footer">
    <w:name w:val="footer"/>
    <w:basedOn w:val="Normal"/>
    <w:link w:val="FooterChar"/>
    <w:uiPriority w:val="99"/>
    <w:unhideWhenUsed/>
    <w:rsid w:val="00C274E2"/>
    <w:pPr>
      <w:tabs>
        <w:tab w:val="center" w:pos="4680"/>
      </w:tabs>
      <w:spacing w:after="0"/>
    </w:pPr>
  </w:style>
  <w:style w:type="character" w:customStyle="1" w:styleId="FooterChar">
    <w:name w:val="Footer Char"/>
    <w:basedOn w:val="DefaultParagraphFont"/>
    <w:link w:val="Footer"/>
    <w:uiPriority w:val="99"/>
    <w:rsid w:val="00C274E2"/>
  </w:style>
  <w:style w:type="character" w:customStyle="1" w:styleId="fontstyle01">
    <w:name w:val="fontstyle01"/>
    <w:basedOn w:val="DefaultParagraphFont"/>
    <w:rsid w:val="00265109"/>
    <w:rPr>
      <w:rFonts w:ascii="ArialMT" w:hAnsi="ArialMT" w:hint="default"/>
      <w:b w:val="0"/>
      <w:bCs w:val="0"/>
      <w:i w:val="0"/>
      <w:iCs w:val="0"/>
      <w:color w:val="000000"/>
      <w:sz w:val="24"/>
      <w:szCs w:val="24"/>
    </w:rPr>
  </w:style>
  <w:style w:type="character" w:customStyle="1" w:styleId="fontstyle21">
    <w:name w:val="fontstyle21"/>
    <w:basedOn w:val="DefaultParagraphFont"/>
    <w:rsid w:val="00833719"/>
    <w:rPr>
      <w:rFonts w:ascii="ArialMT" w:hAnsi="Arial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9A38F5"/>
    <w:rPr>
      <w:sz w:val="16"/>
      <w:szCs w:val="16"/>
    </w:rPr>
  </w:style>
  <w:style w:type="paragraph" w:styleId="CommentText">
    <w:name w:val="annotation text"/>
    <w:basedOn w:val="Normal"/>
    <w:link w:val="CommentTextChar"/>
    <w:uiPriority w:val="99"/>
    <w:unhideWhenUsed/>
    <w:rsid w:val="009A38F5"/>
    <w:rPr>
      <w:sz w:val="20"/>
      <w:szCs w:val="20"/>
    </w:rPr>
  </w:style>
  <w:style w:type="character" w:customStyle="1" w:styleId="CommentTextChar">
    <w:name w:val="Comment Text Char"/>
    <w:basedOn w:val="DefaultParagraphFont"/>
    <w:link w:val="CommentText"/>
    <w:uiPriority w:val="99"/>
    <w:rsid w:val="009A38F5"/>
    <w:rPr>
      <w:sz w:val="20"/>
      <w:szCs w:val="20"/>
    </w:rPr>
  </w:style>
  <w:style w:type="paragraph" w:styleId="CommentSubject">
    <w:name w:val="annotation subject"/>
    <w:basedOn w:val="CommentText"/>
    <w:next w:val="CommentText"/>
    <w:link w:val="CommentSubjectChar"/>
    <w:uiPriority w:val="99"/>
    <w:semiHidden/>
    <w:unhideWhenUsed/>
    <w:rsid w:val="009A38F5"/>
    <w:rPr>
      <w:b/>
      <w:bCs/>
    </w:rPr>
  </w:style>
  <w:style w:type="character" w:customStyle="1" w:styleId="CommentSubjectChar">
    <w:name w:val="Comment Subject Char"/>
    <w:basedOn w:val="CommentTextChar"/>
    <w:link w:val="CommentSubject"/>
    <w:uiPriority w:val="99"/>
    <w:semiHidden/>
    <w:rsid w:val="009A38F5"/>
    <w:rPr>
      <w:b/>
      <w:bCs/>
      <w:sz w:val="20"/>
      <w:szCs w:val="20"/>
    </w:rPr>
  </w:style>
  <w:style w:type="paragraph" w:styleId="BalloonText">
    <w:name w:val="Balloon Text"/>
    <w:basedOn w:val="Normal"/>
    <w:link w:val="BalloonTextChar"/>
    <w:uiPriority w:val="99"/>
    <w:semiHidden/>
    <w:unhideWhenUsed/>
    <w:rsid w:val="009A38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5"/>
    <w:rPr>
      <w:rFonts w:ascii="Segoe UI" w:hAnsi="Segoe UI" w:cs="Segoe UI"/>
      <w:sz w:val="18"/>
      <w:szCs w:val="18"/>
    </w:rPr>
  </w:style>
  <w:style w:type="character" w:customStyle="1" w:styleId="normaltextrun">
    <w:name w:val="normaltextrun"/>
    <w:basedOn w:val="DefaultParagraphFont"/>
    <w:rsid w:val="0014323B"/>
  </w:style>
  <w:style w:type="paragraph" w:customStyle="1" w:styleId="paragraph">
    <w:name w:val="paragraph"/>
    <w:basedOn w:val="Normal"/>
    <w:rsid w:val="0014323B"/>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4323B"/>
  </w:style>
  <w:style w:type="character" w:customStyle="1" w:styleId="Heading2Char">
    <w:name w:val="Heading 2 Char"/>
    <w:basedOn w:val="DefaultParagraphFont"/>
    <w:link w:val="Heading2"/>
    <w:uiPriority w:val="9"/>
    <w:rsid w:val="00183A2C"/>
    <w:rPr>
      <w:rFonts w:ascii="Arial" w:eastAsia="Gulim" w:hAnsi="Arial" w:cs="Arial"/>
      <w:b/>
      <w:color w:val="00A0AF"/>
      <w:shd w:val="clear" w:color="FFFFFF" w:themeColor="background1" w:fill="auto"/>
    </w:rPr>
  </w:style>
  <w:style w:type="character" w:customStyle="1" w:styleId="Heading1Char">
    <w:name w:val="Heading 1 Char"/>
    <w:basedOn w:val="DefaultParagraphFont"/>
    <w:link w:val="Heading1"/>
    <w:uiPriority w:val="9"/>
    <w:rsid w:val="00CA2628"/>
    <w:rPr>
      <w:rFonts w:ascii="Gulim" w:eastAsia="Gulim" w:hAnsi="Gulim" w:cs="Arial"/>
      <w:b/>
      <w:color w:val="00A0AF"/>
      <w:sz w:val="52"/>
      <w:szCs w:val="52"/>
      <w:shd w:val="clear" w:color="FFFFFF" w:themeColor="background1" w:fill="auto"/>
    </w:rPr>
  </w:style>
  <w:style w:type="character" w:styleId="Strong">
    <w:name w:val="Strong"/>
    <w:uiPriority w:val="22"/>
    <w:qFormat/>
    <w:rsid w:val="00A33DD2"/>
    <w:rPr>
      <w:b/>
    </w:rPr>
  </w:style>
  <w:style w:type="character" w:styleId="Emphasis">
    <w:name w:val="Emphasis"/>
    <w:uiPriority w:val="20"/>
    <w:qFormat/>
    <w:rsid w:val="00A33DD2"/>
    <w:rPr>
      <w:color w:val="00A0AF"/>
      <w:sz w:val="96"/>
    </w:rPr>
  </w:style>
  <w:style w:type="character" w:styleId="IntenseEmphasis">
    <w:name w:val="Intense Emphasis"/>
    <w:basedOn w:val="Emphasis"/>
    <w:uiPriority w:val="21"/>
    <w:qFormat/>
    <w:rsid w:val="00107854"/>
    <w:rPr>
      <w:color w:val="00A0AF"/>
      <w:sz w:val="96"/>
    </w:rPr>
  </w:style>
  <w:style w:type="character" w:styleId="SubtleEmphasis">
    <w:name w:val="Subtle Emphasis"/>
    <w:basedOn w:val="IntenseEmphasis"/>
    <w:uiPriority w:val="19"/>
    <w:qFormat/>
    <w:rsid w:val="00107854"/>
    <w:rPr>
      <w:color w:val="00A0AF"/>
      <w:sz w:val="96"/>
    </w:rPr>
  </w:style>
  <w:style w:type="character" w:customStyle="1" w:styleId="Heading3Char">
    <w:name w:val="Heading 3 Char"/>
    <w:basedOn w:val="DefaultParagraphFont"/>
    <w:link w:val="Heading3"/>
    <w:uiPriority w:val="9"/>
    <w:rsid w:val="00183A2C"/>
    <w:rPr>
      <w:rFonts w:ascii="Arial" w:hAnsi="Arial" w:cs="Arial"/>
      <w:b/>
      <w:shd w:val="clear" w:color="FFFFFF" w:themeColor="background1" w:fill="auto"/>
    </w:rPr>
  </w:style>
  <w:style w:type="paragraph" w:styleId="TOCHeading">
    <w:name w:val="TOC Heading"/>
    <w:basedOn w:val="Heading1"/>
    <w:next w:val="Normal"/>
    <w:uiPriority w:val="39"/>
    <w:unhideWhenUsed/>
    <w:qFormat/>
    <w:rsid w:val="004353D7"/>
    <w:pPr>
      <w:keepNext/>
      <w:keepLines/>
      <w:shd w:val="clear" w:color="auto" w:fill="auto"/>
      <w:tabs>
        <w:tab w:val="clear" w:pos="720"/>
        <w:tab w:val="clear" w:pos="9360"/>
      </w:tabs>
      <w:spacing w:before="240" w:after="0" w:line="259" w:lineRule="auto"/>
      <w:ind w:left="0" w:right="0"/>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353D7"/>
    <w:pPr>
      <w:tabs>
        <w:tab w:val="clear" w:pos="720"/>
        <w:tab w:val="clear" w:pos="9360"/>
      </w:tabs>
      <w:spacing w:after="100"/>
    </w:pPr>
  </w:style>
  <w:style w:type="paragraph" w:styleId="TOC2">
    <w:name w:val="toc 2"/>
    <w:basedOn w:val="Normal"/>
    <w:next w:val="Normal"/>
    <w:autoRedefine/>
    <w:uiPriority w:val="39"/>
    <w:unhideWhenUsed/>
    <w:rsid w:val="004353D7"/>
    <w:pPr>
      <w:tabs>
        <w:tab w:val="clear" w:pos="720"/>
        <w:tab w:val="clear" w:pos="9360"/>
      </w:tabs>
      <w:spacing w:after="100"/>
      <w:ind w:left="240"/>
    </w:pPr>
  </w:style>
  <w:style w:type="paragraph" w:styleId="TOC3">
    <w:name w:val="toc 3"/>
    <w:basedOn w:val="Normal"/>
    <w:next w:val="Normal"/>
    <w:autoRedefine/>
    <w:uiPriority w:val="39"/>
    <w:unhideWhenUsed/>
    <w:rsid w:val="004353D7"/>
    <w:pPr>
      <w:tabs>
        <w:tab w:val="clear" w:pos="720"/>
        <w:tab w:val="clear" w:pos="9360"/>
      </w:tabs>
      <w:spacing w:after="100"/>
      <w:ind w:left="480"/>
    </w:pPr>
  </w:style>
  <w:style w:type="character" w:styleId="Hyperlink">
    <w:name w:val="Hyperlink"/>
    <w:basedOn w:val="DefaultParagraphFont"/>
    <w:uiPriority w:val="99"/>
    <w:unhideWhenUsed/>
    <w:rsid w:val="004353D7"/>
    <w:rPr>
      <w:color w:val="0563C1" w:themeColor="hyperlink"/>
      <w:u w:val="single"/>
    </w:rPr>
  </w:style>
  <w:style w:type="table" w:styleId="GridTable5Dark-Accent5">
    <w:name w:val="Grid Table 5 Dark Accent 5"/>
    <w:basedOn w:val="TableNormal"/>
    <w:uiPriority w:val="50"/>
    <w:rsid w:val="000513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fontstyle11">
    <w:name w:val="fontstyle11"/>
    <w:basedOn w:val="DefaultParagraphFont"/>
    <w:rsid w:val="00EC3581"/>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EC3581"/>
    <w:rPr>
      <w:rFonts w:ascii="Wingdings-Regular" w:hAnsi="Wingdings-Regular" w:hint="default"/>
      <w:b w:val="0"/>
      <w:bCs w:val="0"/>
      <w:i w:val="0"/>
      <w:iCs w:val="0"/>
      <w:color w:val="000000"/>
      <w:sz w:val="22"/>
      <w:szCs w:val="22"/>
    </w:rPr>
  </w:style>
  <w:style w:type="table" w:styleId="PlainTable4">
    <w:name w:val="Plain Table 4"/>
    <w:basedOn w:val="TableNormal"/>
    <w:uiPriority w:val="44"/>
    <w:rsid w:val="00EC7A69"/>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01">
    <w:name w:val="A0+1"/>
    <w:uiPriority w:val="99"/>
    <w:rsid w:val="00516091"/>
    <w:rPr>
      <w:rFonts w:cs="Myriad Pro Cond"/>
      <w:color w:val="000000"/>
      <w:sz w:val="18"/>
      <w:szCs w:val="18"/>
    </w:rPr>
  </w:style>
  <w:style w:type="character" w:styleId="FollowedHyperlink">
    <w:name w:val="FollowedHyperlink"/>
    <w:basedOn w:val="DefaultParagraphFont"/>
    <w:uiPriority w:val="99"/>
    <w:semiHidden/>
    <w:unhideWhenUsed/>
    <w:rsid w:val="00BA66A0"/>
    <w:rPr>
      <w:color w:val="954F72" w:themeColor="followedHyperlink"/>
      <w:u w:val="single"/>
    </w:rPr>
  </w:style>
  <w:style w:type="paragraph" w:styleId="FootnoteText">
    <w:name w:val="footnote text"/>
    <w:basedOn w:val="Normal"/>
    <w:link w:val="FootnoteTextChar"/>
    <w:uiPriority w:val="99"/>
    <w:semiHidden/>
    <w:unhideWhenUsed/>
    <w:rsid w:val="00B619AF"/>
    <w:pPr>
      <w:spacing w:after="0"/>
    </w:pPr>
    <w:rPr>
      <w:sz w:val="20"/>
      <w:szCs w:val="20"/>
    </w:rPr>
  </w:style>
  <w:style w:type="character" w:customStyle="1" w:styleId="FootnoteTextChar">
    <w:name w:val="Footnote Text Char"/>
    <w:basedOn w:val="DefaultParagraphFont"/>
    <w:link w:val="FootnoteText"/>
    <w:uiPriority w:val="99"/>
    <w:semiHidden/>
    <w:rsid w:val="00B619AF"/>
    <w:rPr>
      <w:rFonts w:ascii="Arial" w:hAnsi="Arial" w:cs="Arial"/>
      <w:sz w:val="20"/>
      <w:szCs w:val="20"/>
      <w:shd w:val="clear" w:color="FFFFFF" w:themeColor="background1" w:fill="auto"/>
    </w:rPr>
  </w:style>
  <w:style w:type="character" w:styleId="FootnoteReference">
    <w:name w:val="footnote reference"/>
    <w:basedOn w:val="DefaultParagraphFont"/>
    <w:uiPriority w:val="99"/>
    <w:semiHidden/>
    <w:unhideWhenUsed/>
    <w:rsid w:val="00B619AF"/>
    <w:rPr>
      <w:vertAlign w:val="superscript"/>
    </w:rPr>
  </w:style>
  <w:style w:type="character" w:styleId="UnresolvedMention">
    <w:name w:val="Unresolved Mention"/>
    <w:basedOn w:val="DefaultParagraphFont"/>
    <w:uiPriority w:val="99"/>
    <w:semiHidden/>
    <w:unhideWhenUsed/>
    <w:rsid w:val="0070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4821">
      <w:bodyDiv w:val="1"/>
      <w:marLeft w:val="0"/>
      <w:marRight w:val="0"/>
      <w:marTop w:val="0"/>
      <w:marBottom w:val="0"/>
      <w:divBdr>
        <w:top w:val="none" w:sz="0" w:space="0" w:color="auto"/>
        <w:left w:val="none" w:sz="0" w:space="0" w:color="auto"/>
        <w:bottom w:val="none" w:sz="0" w:space="0" w:color="auto"/>
        <w:right w:val="none" w:sz="0" w:space="0" w:color="auto"/>
      </w:divBdr>
    </w:div>
    <w:div w:id="129325358">
      <w:bodyDiv w:val="1"/>
      <w:marLeft w:val="0"/>
      <w:marRight w:val="0"/>
      <w:marTop w:val="0"/>
      <w:marBottom w:val="0"/>
      <w:divBdr>
        <w:top w:val="none" w:sz="0" w:space="0" w:color="auto"/>
        <w:left w:val="none" w:sz="0" w:space="0" w:color="auto"/>
        <w:bottom w:val="none" w:sz="0" w:space="0" w:color="auto"/>
        <w:right w:val="none" w:sz="0" w:space="0" w:color="auto"/>
      </w:divBdr>
    </w:div>
    <w:div w:id="221259679">
      <w:bodyDiv w:val="1"/>
      <w:marLeft w:val="0"/>
      <w:marRight w:val="0"/>
      <w:marTop w:val="0"/>
      <w:marBottom w:val="0"/>
      <w:divBdr>
        <w:top w:val="none" w:sz="0" w:space="0" w:color="auto"/>
        <w:left w:val="none" w:sz="0" w:space="0" w:color="auto"/>
        <w:bottom w:val="none" w:sz="0" w:space="0" w:color="auto"/>
        <w:right w:val="none" w:sz="0" w:space="0" w:color="auto"/>
      </w:divBdr>
    </w:div>
    <w:div w:id="308629219">
      <w:bodyDiv w:val="1"/>
      <w:marLeft w:val="0"/>
      <w:marRight w:val="0"/>
      <w:marTop w:val="0"/>
      <w:marBottom w:val="0"/>
      <w:divBdr>
        <w:top w:val="none" w:sz="0" w:space="0" w:color="auto"/>
        <w:left w:val="none" w:sz="0" w:space="0" w:color="auto"/>
        <w:bottom w:val="none" w:sz="0" w:space="0" w:color="auto"/>
        <w:right w:val="none" w:sz="0" w:space="0" w:color="auto"/>
      </w:divBdr>
    </w:div>
    <w:div w:id="337118828">
      <w:bodyDiv w:val="1"/>
      <w:marLeft w:val="0"/>
      <w:marRight w:val="0"/>
      <w:marTop w:val="0"/>
      <w:marBottom w:val="0"/>
      <w:divBdr>
        <w:top w:val="none" w:sz="0" w:space="0" w:color="auto"/>
        <w:left w:val="none" w:sz="0" w:space="0" w:color="auto"/>
        <w:bottom w:val="none" w:sz="0" w:space="0" w:color="auto"/>
        <w:right w:val="none" w:sz="0" w:space="0" w:color="auto"/>
      </w:divBdr>
    </w:div>
    <w:div w:id="434715971">
      <w:bodyDiv w:val="1"/>
      <w:marLeft w:val="0"/>
      <w:marRight w:val="0"/>
      <w:marTop w:val="0"/>
      <w:marBottom w:val="0"/>
      <w:divBdr>
        <w:top w:val="none" w:sz="0" w:space="0" w:color="auto"/>
        <w:left w:val="none" w:sz="0" w:space="0" w:color="auto"/>
        <w:bottom w:val="none" w:sz="0" w:space="0" w:color="auto"/>
        <w:right w:val="none" w:sz="0" w:space="0" w:color="auto"/>
      </w:divBdr>
    </w:div>
    <w:div w:id="456290766">
      <w:bodyDiv w:val="1"/>
      <w:marLeft w:val="0"/>
      <w:marRight w:val="0"/>
      <w:marTop w:val="0"/>
      <w:marBottom w:val="0"/>
      <w:divBdr>
        <w:top w:val="none" w:sz="0" w:space="0" w:color="auto"/>
        <w:left w:val="none" w:sz="0" w:space="0" w:color="auto"/>
        <w:bottom w:val="none" w:sz="0" w:space="0" w:color="auto"/>
        <w:right w:val="none" w:sz="0" w:space="0" w:color="auto"/>
      </w:divBdr>
    </w:div>
    <w:div w:id="504634529">
      <w:bodyDiv w:val="1"/>
      <w:marLeft w:val="0"/>
      <w:marRight w:val="0"/>
      <w:marTop w:val="0"/>
      <w:marBottom w:val="0"/>
      <w:divBdr>
        <w:top w:val="none" w:sz="0" w:space="0" w:color="auto"/>
        <w:left w:val="none" w:sz="0" w:space="0" w:color="auto"/>
        <w:bottom w:val="none" w:sz="0" w:space="0" w:color="auto"/>
        <w:right w:val="none" w:sz="0" w:space="0" w:color="auto"/>
      </w:divBdr>
    </w:div>
    <w:div w:id="595215405">
      <w:bodyDiv w:val="1"/>
      <w:marLeft w:val="0"/>
      <w:marRight w:val="0"/>
      <w:marTop w:val="0"/>
      <w:marBottom w:val="0"/>
      <w:divBdr>
        <w:top w:val="none" w:sz="0" w:space="0" w:color="auto"/>
        <w:left w:val="none" w:sz="0" w:space="0" w:color="auto"/>
        <w:bottom w:val="none" w:sz="0" w:space="0" w:color="auto"/>
        <w:right w:val="none" w:sz="0" w:space="0" w:color="auto"/>
      </w:divBdr>
    </w:div>
    <w:div w:id="716316473">
      <w:bodyDiv w:val="1"/>
      <w:marLeft w:val="0"/>
      <w:marRight w:val="0"/>
      <w:marTop w:val="0"/>
      <w:marBottom w:val="0"/>
      <w:divBdr>
        <w:top w:val="none" w:sz="0" w:space="0" w:color="auto"/>
        <w:left w:val="none" w:sz="0" w:space="0" w:color="auto"/>
        <w:bottom w:val="none" w:sz="0" w:space="0" w:color="auto"/>
        <w:right w:val="none" w:sz="0" w:space="0" w:color="auto"/>
      </w:divBdr>
    </w:div>
    <w:div w:id="721251641">
      <w:bodyDiv w:val="1"/>
      <w:marLeft w:val="0"/>
      <w:marRight w:val="0"/>
      <w:marTop w:val="0"/>
      <w:marBottom w:val="0"/>
      <w:divBdr>
        <w:top w:val="none" w:sz="0" w:space="0" w:color="auto"/>
        <w:left w:val="none" w:sz="0" w:space="0" w:color="auto"/>
        <w:bottom w:val="none" w:sz="0" w:space="0" w:color="auto"/>
        <w:right w:val="none" w:sz="0" w:space="0" w:color="auto"/>
      </w:divBdr>
    </w:div>
    <w:div w:id="748574570">
      <w:bodyDiv w:val="1"/>
      <w:marLeft w:val="0"/>
      <w:marRight w:val="0"/>
      <w:marTop w:val="0"/>
      <w:marBottom w:val="0"/>
      <w:divBdr>
        <w:top w:val="none" w:sz="0" w:space="0" w:color="auto"/>
        <w:left w:val="none" w:sz="0" w:space="0" w:color="auto"/>
        <w:bottom w:val="none" w:sz="0" w:space="0" w:color="auto"/>
        <w:right w:val="none" w:sz="0" w:space="0" w:color="auto"/>
      </w:divBdr>
    </w:div>
    <w:div w:id="780566020">
      <w:bodyDiv w:val="1"/>
      <w:marLeft w:val="0"/>
      <w:marRight w:val="0"/>
      <w:marTop w:val="0"/>
      <w:marBottom w:val="0"/>
      <w:divBdr>
        <w:top w:val="none" w:sz="0" w:space="0" w:color="auto"/>
        <w:left w:val="none" w:sz="0" w:space="0" w:color="auto"/>
        <w:bottom w:val="none" w:sz="0" w:space="0" w:color="auto"/>
        <w:right w:val="none" w:sz="0" w:space="0" w:color="auto"/>
      </w:divBdr>
      <w:divsChild>
        <w:div w:id="1301375990">
          <w:marLeft w:val="0"/>
          <w:marRight w:val="0"/>
          <w:marTop w:val="0"/>
          <w:marBottom w:val="0"/>
          <w:divBdr>
            <w:top w:val="none" w:sz="0" w:space="0" w:color="auto"/>
            <w:left w:val="none" w:sz="0" w:space="0" w:color="auto"/>
            <w:bottom w:val="none" w:sz="0" w:space="0" w:color="auto"/>
            <w:right w:val="none" w:sz="0" w:space="0" w:color="auto"/>
          </w:divBdr>
        </w:div>
        <w:div w:id="885487278">
          <w:marLeft w:val="0"/>
          <w:marRight w:val="0"/>
          <w:marTop w:val="0"/>
          <w:marBottom w:val="0"/>
          <w:divBdr>
            <w:top w:val="none" w:sz="0" w:space="0" w:color="auto"/>
            <w:left w:val="none" w:sz="0" w:space="0" w:color="auto"/>
            <w:bottom w:val="none" w:sz="0" w:space="0" w:color="auto"/>
            <w:right w:val="none" w:sz="0" w:space="0" w:color="auto"/>
          </w:divBdr>
        </w:div>
      </w:divsChild>
    </w:div>
    <w:div w:id="791478545">
      <w:bodyDiv w:val="1"/>
      <w:marLeft w:val="0"/>
      <w:marRight w:val="0"/>
      <w:marTop w:val="0"/>
      <w:marBottom w:val="0"/>
      <w:divBdr>
        <w:top w:val="none" w:sz="0" w:space="0" w:color="auto"/>
        <w:left w:val="none" w:sz="0" w:space="0" w:color="auto"/>
        <w:bottom w:val="none" w:sz="0" w:space="0" w:color="auto"/>
        <w:right w:val="none" w:sz="0" w:space="0" w:color="auto"/>
      </w:divBdr>
    </w:div>
    <w:div w:id="838153998">
      <w:bodyDiv w:val="1"/>
      <w:marLeft w:val="0"/>
      <w:marRight w:val="0"/>
      <w:marTop w:val="0"/>
      <w:marBottom w:val="0"/>
      <w:divBdr>
        <w:top w:val="none" w:sz="0" w:space="0" w:color="auto"/>
        <w:left w:val="none" w:sz="0" w:space="0" w:color="auto"/>
        <w:bottom w:val="none" w:sz="0" w:space="0" w:color="auto"/>
        <w:right w:val="none" w:sz="0" w:space="0" w:color="auto"/>
      </w:divBdr>
    </w:div>
    <w:div w:id="875695949">
      <w:bodyDiv w:val="1"/>
      <w:marLeft w:val="0"/>
      <w:marRight w:val="0"/>
      <w:marTop w:val="0"/>
      <w:marBottom w:val="0"/>
      <w:divBdr>
        <w:top w:val="none" w:sz="0" w:space="0" w:color="auto"/>
        <w:left w:val="none" w:sz="0" w:space="0" w:color="auto"/>
        <w:bottom w:val="none" w:sz="0" w:space="0" w:color="auto"/>
        <w:right w:val="none" w:sz="0" w:space="0" w:color="auto"/>
      </w:divBdr>
    </w:div>
    <w:div w:id="899245739">
      <w:bodyDiv w:val="1"/>
      <w:marLeft w:val="0"/>
      <w:marRight w:val="0"/>
      <w:marTop w:val="0"/>
      <w:marBottom w:val="0"/>
      <w:divBdr>
        <w:top w:val="none" w:sz="0" w:space="0" w:color="auto"/>
        <w:left w:val="none" w:sz="0" w:space="0" w:color="auto"/>
        <w:bottom w:val="none" w:sz="0" w:space="0" w:color="auto"/>
        <w:right w:val="none" w:sz="0" w:space="0" w:color="auto"/>
      </w:divBdr>
    </w:div>
    <w:div w:id="948587767">
      <w:bodyDiv w:val="1"/>
      <w:marLeft w:val="0"/>
      <w:marRight w:val="0"/>
      <w:marTop w:val="0"/>
      <w:marBottom w:val="0"/>
      <w:divBdr>
        <w:top w:val="none" w:sz="0" w:space="0" w:color="auto"/>
        <w:left w:val="none" w:sz="0" w:space="0" w:color="auto"/>
        <w:bottom w:val="none" w:sz="0" w:space="0" w:color="auto"/>
        <w:right w:val="none" w:sz="0" w:space="0" w:color="auto"/>
      </w:divBdr>
    </w:div>
    <w:div w:id="955913899">
      <w:bodyDiv w:val="1"/>
      <w:marLeft w:val="0"/>
      <w:marRight w:val="0"/>
      <w:marTop w:val="0"/>
      <w:marBottom w:val="0"/>
      <w:divBdr>
        <w:top w:val="none" w:sz="0" w:space="0" w:color="auto"/>
        <w:left w:val="none" w:sz="0" w:space="0" w:color="auto"/>
        <w:bottom w:val="none" w:sz="0" w:space="0" w:color="auto"/>
        <w:right w:val="none" w:sz="0" w:space="0" w:color="auto"/>
      </w:divBdr>
    </w:div>
    <w:div w:id="979270267">
      <w:bodyDiv w:val="1"/>
      <w:marLeft w:val="0"/>
      <w:marRight w:val="0"/>
      <w:marTop w:val="0"/>
      <w:marBottom w:val="0"/>
      <w:divBdr>
        <w:top w:val="none" w:sz="0" w:space="0" w:color="auto"/>
        <w:left w:val="none" w:sz="0" w:space="0" w:color="auto"/>
        <w:bottom w:val="none" w:sz="0" w:space="0" w:color="auto"/>
        <w:right w:val="none" w:sz="0" w:space="0" w:color="auto"/>
      </w:divBdr>
    </w:div>
    <w:div w:id="995304257">
      <w:bodyDiv w:val="1"/>
      <w:marLeft w:val="0"/>
      <w:marRight w:val="0"/>
      <w:marTop w:val="0"/>
      <w:marBottom w:val="0"/>
      <w:divBdr>
        <w:top w:val="none" w:sz="0" w:space="0" w:color="auto"/>
        <w:left w:val="none" w:sz="0" w:space="0" w:color="auto"/>
        <w:bottom w:val="none" w:sz="0" w:space="0" w:color="auto"/>
        <w:right w:val="none" w:sz="0" w:space="0" w:color="auto"/>
      </w:divBdr>
    </w:div>
    <w:div w:id="1019235295">
      <w:bodyDiv w:val="1"/>
      <w:marLeft w:val="0"/>
      <w:marRight w:val="0"/>
      <w:marTop w:val="0"/>
      <w:marBottom w:val="0"/>
      <w:divBdr>
        <w:top w:val="none" w:sz="0" w:space="0" w:color="auto"/>
        <w:left w:val="none" w:sz="0" w:space="0" w:color="auto"/>
        <w:bottom w:val="none" w:sz="0" w:space="0" w:color="auto"/>
        <w:right w:val="none" w:sz="0" w:space="0" w:color="auto"/>
      </w:divBdr>
    </w:div>
    <w:div w:id="1057389916">
      <w:bodyDiv w:val="1"/>
      <w:marLeft w:val="0"/>
      <w:marRight w:val="0"/>
      <w:marTop w:val="0"/>
      <w:marBottom w:val="0"/>
      <w:divBdr>
        <w:top w:val="none" w:sz="0" w:space="0" w:color="auto"/>
        <w:left w:val="none" w:sz="0" w:space="0" w:color="auto"/>
        <w:bottom w:val="none" w:sz="0" w:space="0" w:color="auto"/>
        <w:right w:val="none" w:sz="0" w:space="0" w:color="auto"/>
      </w:divBdr>
    </w:div>
    <w:div w:id="1078210106">
      <w:bodyDiv w:val="1"/>
      <w:marLeft w:val="0"/>
      <w:marRight w:val="0"/>
      <w:marTop w:val="0"/>
      <w:marBottom w:val="0"/>
      <w:divBdr>
        <w:top w:val="none" w:sz="0" w:space="0" w:color="auto"/>
        <w:left w:val="none" w:sz="0" w:space="0" w:color="auto"/>
        <w:bottom w:val="none" w:sz="0" w:space="0" w:color="auto"/>
        <w:right w:val="none" w:sz="0" w:space="0" w:color="auto"/>
      </w:divBdr>
    </w:div>
    <w:div w:id="1134524222">
      <w:bodyDiv w:val="1"/>
      <w:marLeft w:val="0"/>
      <w:marRight w:val="0"/>
      <w:marTop w:val="0"/>
      <w:marBottom w:val="0"/>
      <w:divBdr>
        <w:top w:val="none" w:sz="0" w:space="0" w:color="auto"/>
        <w:left w:val="none" w:sz="0" w:space="0" w:color="auto"/>
        <w:bottom w:val="none" w:sz="0" w:space="0" w:color="auto"/>
        <w:right w:val="none" w:sz="0" w:space="0" w:color="auto"/>
      </w:divBdr>
    </w:div>
    <w:div w:id="1170676929">
      <w:bodyDiv w:val="1"/>
      <w:marLeft w:val="0"/>
      <w:marRight w:val="0"/>
      <w:marTop w:val="0"/>
      <w:marBottom w:val="0"/>
      <w:divBdr>
        <w:top w:val="none" w:sz="0" w:space="0" w:color="auto"/>
        <w:left w:val="none" w:sz="0" w:space="0" w:color="auto"/>
        <w:bottom w:val="none" w:sz="0" w:space="0" w:color="auto"/>
        <w:right w:val="none" w:sz="0" w:space="0" w:color="auto"/>
      </w:divBdr>
    </w:div>
    <w:div w:id="1178958329">
      <w:bodyDiv w:val="1"/>
      <w:marLeft w:val="0"/>
      <w:marRight w:val="0"/>
      <w:marTop w:val="0"/>
      <w:marBottom w:val="0"/>
      <w:divBdr>
        <w:top w:val="none" w:sz="0" w:space="0" w:color="auto"/>
        <w:left w:val="none" w:sz="0" w:space="0" w:color="auto"/>
        <w:bottom w:val="none" w:sz="0" w:space="0" w:color="auto"/>
        <w:right w:val="none" w:sz="0" w:space="0" w:color="auto"/>
      </w:divBdr>
    </w:div>
    <w:div w:id="1198161213">
      <w:bodyDiv w:val="1"/>
      <w:marLeft w:val="0"/>
      <w:marRight w:val="0"/>
      <w:marTop w:val="0"/>
      <w:marBottom w:val="0"/>
      <w:divBdr>
        <w:top w:val="none" w:sz="0" w:space="0" w:color="auto"/>
        <w:left w:val="none" w:sz="0" w:space="0" w:color="auto"/>
        <w:bottom w:val="none" w:sz="0" w:space="0" w:color="auto"/>
        <w:right w:val="none" w:sz="0" w:space="0" w:color="auto"/>
      </w:divBdr>
    </w:div>
    <w:div w:id="1231696664">
      <w:bodyDiv w:val="1"/>
      <w:marLeft w:val="0"/>
      <w:marRight w:val="0"/>
      <w:marTop w:val="0"/>
      <w:marBottom w:val="0"/>
      <w:divBdr>
        <w:top w:val="none" w:sz="0" w:space="0" w:color="auto"/>
        <w:left w:val="none" w:sz="0" w:space="0" w:color="auto"/>
        <w:bottom w:val="none" w:sz="0" w:space="0" w:color="auto"/>
        <w:right w:val="none" w:sz="0" w:space="0" w:color="auto"/>
      </w:divBdr>
    </w:div>
    <w:div w:id="1246036755">
      <w:bodyDiv w:val="1"/>
      <w:marLeft w:val="0"/>
      <w:marRight w:val="0"/>
      <w:marTop w:val="0"/>
      <w:marBottom w:val="0"/>
      <w:divBdr>
        <w:top w:val="none" w:sz="0" w:space="0" w:color="auto"/>
        <w:left w:val="none" w:sz="0" w:space="0" w:color="auto"/>
        <w:bottom w:val="none" w:sz="0" w:space="0" w:color="auto"/>
        <w:right w:val="none" w:sz="0" w:space="0" w:color="auto"/>
      </w:divBdr>
    </w:div>
    <w:div w:id="1268460551">
      <w:bodyDiv w:val="1"/>
      <w:marLeft w:val="0"/>
      <w:marRight w:val="0"/>
      <w:marTop w:val="0"/>
      <w:marBottom w:val="0"/>
      <w:divBdr>
        <w:top w:val="none" w:sz="0" w:space="0" w:color="auto"/>
        <w:left w:val="none" w:sz="0" w:space="0" w:color="auto"/>
        <w:bottom w:val="none" w:sz="0" w:space="0" w:color="auto"/>
        <w:right w:val="none" w:sz="0" w:space="0" w:color="auto"/>
      </w:divBdr>
    </w:div>
    <w:div w:id="1318921395">
      <w:bodyDiv w:val="1"/>
      <w:marLeft w:val="0"/>
      <w:marRight w:val="0"/>
      <w:marTop w:val="0"/>
      <w:marBottom w:val="0"/>
      <w:divBdr>
        <w:top w:val="none" w:sz="0" w:space="0" w:color="auto"/>
        <w:left w:val="none" w:sz="0" w:space="0" w:color="auto"/>
        <w:bottom w:val="none" w:sz="0" w:space="0" w:color="auto"/>
        <w:right w:val="none" w:sz="0" w:space="0" w:color="auto"/>
      </w:divBdr>
    </w:div>
    <w:div w:id="1358116147">
      <w:bodyDiv w:val="1"/>
      <w:marLeft w:val="0"/>
      <w:marRight w:val="0"/>
      <w:marTop w:val="0"/>
      <w:marBottom w:val="0"/>
      <w:divBdr>
        <w:top w:val="none" w:sz="0" w:space="0" w:color="auto"/>
        <w:left w:val="none" w:sz="0" w:space="0" w:color="auto"/>
        <w:bottom w:val="none" w:sz="0" w:space="0" w:color="auto"/>
        <w:right w:val="none" w:sz="0" w:space="0" w:color="auto"/>
      </w:divBdr>
    </w:div>
    <w:div w:id="1423643291">
      <w:bodyDiv w:val="1"/>
      <w:marLeft w:val="0"/>
      <w:marRight w:val="0"/>
      <w:marTop w:val="0"/>
      <w:marBottom w:val="0"/>
      <w:divBdr>
        <w:top w:val="none" w:sz="0" w:space="0" w:color="auto"/>
        <w:left w:val="none" w:sz="0" w:space="0" w:color="auto"/>
        <w:bottom w:val="none" w:sz="0" w:space="0" w:color="auto"/>
        <w:right w:val="none" w:sz="0" w:space="0" w:color="auto"/>
      </w:divBdr>
    </w:div>
    <w:div w:id="1542590235">
      <w:bodyDiv w:val="1"/>
      <w:marLeft w:val="0"/>
      <w:marRight w:val="0"/>
      <w:marTop w:val="0"/>
      <w:marBottom w:val="0"/>
      <w:divBdr>
        <w:top w:val="none" w:sz="0" w:space="0" w:color="auto"/>
        <w:left w:val="none" w:sz="0" w:space="0" w:color="auto"/>
        <w:bottom w:val="none" w:sz="0" w:space="0" w:color="auto"/>
        <w:right w:val="none" w:sz="0" w:space="0" w:color="auto"/>
      </w:divBdr>
      <w:divsChild>
        <w:div w:id="63140221">
          <w:marLeft w:val="0"/>
          <w:marRight w:val="0"/>
          <w:marTop w:val="0"/>
          <w:marBottom w:val="0"/>
          <w:divBdr>
            <w:top w:val="none" w:sz="0" w:space="0" w:color="auto"/>
            <w:left w:val="none" w:sz="0" w:space="0" w:color="auto"/>
            <w:bottom w:val="none" w:sz="0" w:space="0" w:color="auto"/>
            <w:right w:val="none" w:sz="0" w:space="0" w:color="auto"/>
          </w:divBdr>
        </w:div>
        <w:div w:id="1674723999">
          <w:marLeft w:val="0"/>
          <w:marRight w:val="0"/>
          <w:marTop w:val="0"/>
          <w:marBottom w:val="0"/>
          <w:divBdr>
            <w:top w:val="none" w:sz="0" w:space="0" w:color="auto"/>
            <w:left w:val="none" w:sz="0" w:space="0" w:color="auto"/>
            <w:bottom w:val="none" w:sz="0" w:space="0" w:color="auto"/>
            <w:right w:val="none" w:sz="0" w:space="0" w:color="auto"/>
          </w:divBdr>
        </w:div>
      </w:divsChild>
    </w:div>
    <w:div w:id="1555702200">
      <w:bodyDiv w:val="1"/>
      <w:marLeft w:val="0"/>
      <w:marRight w:val="0"/>
      <w:marTop w:val="0"/>
      <w:marBottom w:val="0"/>
      <w:divBdr>
        <w:top w:val="none" w:sz="0" w:space="0" w:color="auto"/>
        <w:left w:val="none" w:sz="0" w:space="0" w:color="auto"/>
        <w:bottom w:val="none" w:sz="0" w:space="0" w:color="auto"/>
        <w:right w:val="none" w:sz="0" w:space="0" w:color="auto"/>
      </w:divBdr>
    </w:div>
    <w:div w:id="1636253169">
      <w:bodyDiv w:val="1"/>
      <w:marLeft w:val="0"/>
      <w:marRight w:val="0"/>
      <w:marTop w:val="0"/>
      <w:marBottom w:val="0"/>
      <w:divBdr>
        <w:top w:val="none" w:sz="0" w:space="0" w:color="auto"/>
        <w:left w:val="none" w:sz="0" w:space="0" w:color="auto"/>
        <w:bottom w:val="none" w:sz="0" w:space="0" w:color="auto"/>
        <w:right w:val="none" w:sz="0" w:space="0" w:color="auto"/>
      </w:divBdr>
    </w:div>
    <w:div w:id="1661154385">
      <w:bodyDiv w:val="1"/>
      <w:marLeft w:val="0"/>
      <w:marRight w:val="0"/>
      <w:marTop w:val="0"/>
      <w:marBottom w:val="0"/>
      <w:divBdr>
        <w:top w:val="none" w:sz="0" w:space="0" w:color="auto"/>
        <w:left w:val="none" w:sz="0" w:space="0" w:color="auto"/>
        <w:bottom w:val="none" w:sz="0" w:space="0" w:color="auto"/>
        <w:right w:val="none" w:sz="0" w:space="0" w:color="auto"/>
      </w:divBdr>
    </w:div>
    <w:div w:id="1702394967">
      <w:bodyDiv w:val="1"/>
      <w:marLeft w:val="0"/>
      <w:marRight w:val="0"/>
      <w:marTop w:val="0"/>
      <w:marBottom w:val="0"/>
      <w:divBdr>
        <w:top w:val="none" w:sz="0" w:space="0" w:color="auto"/>
        <w:left w:val="none" w:sz="0" w:space="0" w:color="auto"/>
        <w:bottom w:val="none" w:sz="0" w:space="0" w:color="auto"/>
        <w:right w:val="none" w:sz="0" w:space="0" w:color="auto"/>
      </w:divBdr>
    </w:div>
    <w:div w:id="1738547567">
      <w:bodyDiv w:val="1"/>
      <w:marLeft w:val="0"/>
      <w:marRight w:val="0"/>
      <w:marTop w:val="0"/>
      <w:marBottom w:val="0"/>
      <w:divBdr>
        <w:top w:val="none" w:sz="0" w:space="0" w:color="auto"/>
        <w:left w:val="none" w:sz="0" w:space="0" w:color="auto"/>
        <w:bottom w:val="none" w:sz="0" w:space="0" w:color="auto"/>
        <w:right w:val="none" w:sz="0" w:space="0" w:color="auto"/>
      </w:divBdr>
    </w:div>
    <w:div w:id="1744839064">
      <w:bodyDiv w:val="1"/>
      <w:marLeft w:val="0"/>
      <w:marRight w:val="0"/>
      <w:marTop w:val="0"/>
      <w:marBottom w:val="0"/>
      <w:divBdr>
        <w:top w:val="none" w:sz="0" w:space="0" w:color="auto"/>
        <w:left w:val="none" w:sz="0" w:space="0" w:color="auto"/>
        <w:bottom w:val="none" w:sz="0" w:space="0" w:color="auto"/>
        <w:right w:val="none" w:sz="0" w:space="0" w:color="auto"/>
      </w:divBdr>
    </w:div>
    <w:div w:id="1754399857">
      <w:bodyDiv w:val="1"/>
      <w:marLeft w:val="0"/>
      <w:marRight w:val="0"/>
      <w:marTop w:val="0"/>
      <w:marBottom w:val="0"/>
      <w:divBdr>
        <w:top w:val="none" w:sz="0" w:space="0" w:color="auto"/>
        <w:left w:val="none" w:sz="0" w:space="0" w:color="auto"/>
        <w:bottom w:val="none" w:sz="0" w:space="0" w:color="auto"/>
        <w:right w:val="none" w:sz="0" w:space="0" w:color="auto"/>
      </w:divBdr>
    </w:div>
    <w:div w:id="1761413976">
      <w:bodyDiv w:val="1"/>
      <w:marLeft w:val="0"/>
      <w:marRight w:val="0"/>
      <w:marTop w:val="0"/>
      <w:marBottom w:val="0"/>
      <w:divBdr>
        <w:top w:val="none" w:sz="0" w:space="0" w:color="auto"/>
        <w:left w:val="none" w:sz="0" w:space="0" w:color="auto"/>
        <w:bottom w:val="none" w:sz="0" w:space="0" w:color="auto"/>
        <w:right w:val="none" w:sz="0" w:space="0" w:color="auto"/>
      </w:divBdr>
    </w:div>
    <w:div w:id="1784230213">
      <w:bodyDiv w:val="1"/>
      <w:marLeft w:val="0"/>
      <w:marRight w:val="0"/>
      <w:marTop w:val="0"/>
      <w:marBottom w:val="0"/>
      <w:divBdr>
        <w:top w:val="none" w:sz="0" w:space="0" w:color="auto"/>
        <w:left w:val="none" w:sz="0" w:space="0" w:color="auto"/>
        <w:bottom w:val="none" w:sz="0" w:space="0" w:color="auto"/>
        <w:right w:val="none" w:sz="0" w:space="0" w:color="auto"/>
      </w:divBdr>
    </w:div>
    <w:div w:id="1857115606">
      <w:bodyDiv w:val="1"/>
      <w:marLeft w:val="0"/>
      <w:marRight w:val="0"/>
      <w:marTop w:val="0"/>
      <w:marBottom w:val="0"/>
      <w:divBdr>
        <w:top w:val="none" w:sz="0" w:space="0" w:color="auto"/>
        <w:left w:val="none" w:sz="0" w:space="0" w:color="auto"/>
        <w:bottom w:val="none" w:sz="0" w:space="0" w:color="auto"/>
        <w:right w:val="none" w:sz="0" w:space="0" w:color="auto"/>
      </w:divBdr>
    </w:div>
    <w:div w:id="1875653872">
      <w:bodyDiv w:val="1"/>
      <w:marLeft w:val="0"/>
      <w:marRight w:val="0"/>
      <w:marTop w:val="0"/>
      <w:marBottom w:val="0"/>
      <w:divBdr>
        <w:top w:val="none" w:sz="0" w:space="0" w:color="auto"/>
        <w:left w:val="none" w:sz="0" w:space="0" w:color="auto"/>
        <w:bottom w:val="none" w:sz="0" w:space="0" w:color="auto"/>
        <w:right w:val="none" w:sz="0" w:space="0" w:color="auto"/>
      </w:divBdr>
    </w:div>
    <w:div w:id="1897398701">
      <w:bodyDiv w:val="1"/>
      <w:marLeft w:val="0"/>
      <w:marRight w:val="0"/>
      <w:marTop w:val="0"/>
      <w:marBottom w:val="0"/>
      <w:divBdr>
        <w:top w:val="none" w:sz="0" w:space="0" w:color="auto"/>
        <w:left w:val="none" w:sz="0" w:space="0" w:color="auto"/>
        <w:bottom w:val="none" w:sz="0" w:space="0" w:color="auto"/>
        <w:right w:val="none" w:sz="0" w:space="0" w:color="auto"/>
      </w:divBdr>
    </w:div>
    <w:div w:id="1900245681">
      <w:bodyDiv w:val="1"/>
      <w:marLeft w:val="0"/>
      <w:marRight w:val="0"/>
      <w:marTop w:val="0"/>
      <w:marBottom w:val="0"/>
      <w:divBdr>
        <w:top w:val="none" w:sz="0" w:space="0" w:color="auto"/>
        <w:left w:val="none" w:sz="0" w:space="0" w:color="auto"/>
        <w:bottom w:val="none" w:sz="0" w:space="0" w:color="auto"/>
        <w:right w:val="none" w:sz="0" w:space="0" w:color="auto"/>
      </w:divBdr>
    </w:div>
    <w:div w:id="1932354058">
      <w:bodyDiv w:val="1"/>
      <w:marLeft w:val="0"/>
      <w:marRight w:val="0"/>
      <w:marTop w:val="0"/>
      <w:marBottom w:val="0"/>
      <w:divBdr>
        <w:top w:val="none" w:sz="0" w:space="0" w:color="auto"/>
        <w:left w:val="none" w:sz="0" w:space="0" w:color="auto"/>
        <w:bottom w:val="none" w:sz="0" w:space="0" w:color="auto"/>
        <w:right w:val="none" w:sz="0" w:space="0" w:color="auto"/>
      </w:divBdr>
    </w:div>
    <w:div w:id="1994219223">
      <w:bodyDiv w:val="1"/>
      <w:marLeft w:val="0"/>
      <w:marRight w:val="0"/>
      <w:marTop w:val="0"/>
      <w:marBottom w:val="0"/>
      <w:divBdr>
        <w:top w:val="none" w:sz="0" w:space="0" w:color="auto"/>
        <w:left w:val="none" w:sz="0" w:space="0" w:color="auto"/>
        <w:bottom w:val="none" w:sz="0" w:space="0" w:color="auto"/>
        <w:right w:val="none" w:sz="0" w:space="0" w:color="auto"/>
      </w:divBdr>
    </w:div>
    <w:div w:id="2007047201">
      <w:bodyDiv w:val="1"/>
      <w:marLeft w:val="0"/>
      <w:marRight w:val="0"/>
      <w:marTop w:val="0"/>
      <w:marBottom w:val="0"/>
      <w:divBdr>
        <w:top w:val="none" w:sz="0" w:space="0" w:color="auto"/>
        <w:left w:val="none" w:sz="0" w:space="0" w:color="auto"/>
        <w:bottom w:val="none" w:sz="0" w:space="0" w:color="auto"/>
        <w:right w:val="none" w:sz="0" w:space="0" w:color="auto"/>
      </w:divBdr>
    </w:div>
    <w:div w:id="2029066454">
      <w:bodyDiv w:val="1"/>
      <w:marLeft w:val="0"/>
      <w:marRight w:val="0"/>
      <w:marTop w:val="0"/>
      <w:marBottom w:val="0"/>
      <w:divBdr>
        <w:top w:val="none" w:sz="0" w:space="0" w:color="auto"/>
        <w:left w:val="none" w:sz="0" w:space="0" w:color="auto"/>
        <w:bottom w:val="none" w:sz="0" w:space="0" w:color="auto"/>
        <w:right w:val="none" w:sz="0" w:space="0" w:color="auto"/>
      </w:divBdr>
    </w:div>
    <w:div w:id="20639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Years of Age</c:v>
                </c:pt>
              </c:strCache>
            </c:strRef>
          </c:tx>
          <c:spPr>
            <a:solidFill>
              <a:srgbClr val="00A0AF"/>
            </a:solidFill>
            <a:ln>
              <a:noFill/>
            </a:ln>
            <a:effectLst/>
          </c:spPr>
          <c:invertIfNegative val="0"/>
          <c:cat>
            <c:strRef>
              <c:f>Sheet1!$A$2:$A$10</c:f>
              <c:strCache>
                <c:ptCount val="9"/>
                <c:pt idx="0">
                  <c:v>10–14</c:v>
                </c:pt>
                <c:pt idx="1">
                  <c:v>15–24</c:v>
                </c:pt>
                <c:pt idx="2">
                  <c:v>25–34</c:v>
                </c:pt>
                <c:pt idx="3">
                  <c:v>35–44</c:v>
                </c:pt>
                <c:pt idx="4">
                  <c:v>45–54</c:v>
                </c:pt>
                <c:pt idx="5">
                  <c:v>55–64</c:v>
                </c:pt>
                <c:pt idx="6">
                  <c:v>65–74</c:v>
                </c:pt>
                <c:pt idx="7">
                  <c:v>75–84</c:v>
                </c:pt>
                <c:pt idx="8">
                  <c:v>85+</c:v>
                </c:pt>
              </c:strCache>
            </c:strRef>
          </c:cat>
          <c:val>
            <c:numRef>
              <c:f>Sheet1!$B$2:$B$10</c:f>
              <c:numCache>
                <c:formatCode>General</c:formatCode>
                <c:ptCount val="9"/>
                <c:pt idx="0">
                  <c:v>0</c:v>
                </c:pt>
                <c:pt idx="1">
                  <c:v>3.2782488190853689</c:v>
                </c:pt>
                <c:pt idx="2">
                  <c:v>13.881425029751711</c:v>
                </c:pt>
                <c:pt idx="3">
                  <c:v>14.179417465113081</c:v>
                </c:pt>
                <c:pt idx="4">
                  <c:v>9.5198794660422443</c:v>
                </c:pt>
                <c:pt idx="5">
                  <c:v>7.1433817170362026</c:v>
                </c:pt>
                <c:pt idx="6">
                  <c:v>0.63846046554572655</c:v>
                </c:pt>
                <c:pt idx="7">
                  <c:v>0.25870655346817695</c:v>
                </c:pt>
                <c:pt idx="8">
                  <c:v>0</c:v>
                </c:pt>
              </c:numCache>
            </c:numRef>
          </c:val>
          <c:extLst>
            <c:ext xmlns:c16="http://schemas.microsoft.com/office/drawing/2014/chart" uri="{C3380CC4-5D6E-409C-BE32-E72D297353CC}">
              <c16:uniqueId val="{00000000-BD20-4137-A35F-CC4A2E7582EC}"/>
            </c:ext>
          </c:extLst>
        </c:ser>
        <c:dLbls>
          <c:showLegendKey val="0"/>
          <c:showVal val="0"/>
          <c:showCatName val="0"/>
          <c:showSerName val="0"/>
          <c:showPercent val="0"/>
          <c:showBubbleSize val="0"/>
        </c:dLbls>
        <c:gapWidth val="219"/>
        <c:overlap val="-27"/>
        <c:axId val="1185365679"/>
        <c:axId val="882028207"/>
      </c:barChart>
      <c:catAx>
        <c:axId val="1185365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2028207"/>
        <c:crosses val="autoZero"/>
        <c:auto val="1"/>
        <c:lblAlgn val="ctr"/>
        <c:lblOffset val="100"/>
        <c:noMultiLvlLbl val="0"/>
      </c:catAx>
      <c:valAx>
        <c:axId val="882028207"/>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Death Count per 100,000 Over 6 Months</a:t>
                </a:r>
                <a:endParaRPr lang="en-US"/>
              </a:p>
            </c:rich>
          </c:tx>
          <c:layout>
            <c:manualLayout>
              <c:xMode val="edge"/>
              <c:yMode val="edge"/>
              <c:x val="1.4316392269148175E-2"/>
              <c:y val="5.33550243817844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85365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Years of Age</c:v>
                </c:pt>
              </c:strCache>
            </c:strRef>
          </c:tx>
          <c:spPr>
            <a:solidFill>
              <a:srgbClr val="00A0AF"/>
            </a:solidFill>
            <a:ln>
              <a:noFill/>
            </a:ln>
            <a:effectLst/>
          </c:spPr>
          <c:invertIfNegative val="0"/>
          <c:cat>
            <c:strRef>
              <c:f>Sheet1!$A$2:$A$3</c:f>
              <c:strCache>
                <c:ptCount val="2"/>
                <c:pt idx="0">
                  <c:v>Male</c:v>
                </c:pt>
                <c:pt idx="1">
                  <c:v>Female</c:v>
                </c:pt>
              </c:strCache>
            </c:strRef>
          </c:cat>
          <c:val>
            <c:numRef>
              <c:f>Sheet1!$B$2:$B$3</c:f>
              <c:numCache>
                <c:formatCode>General</c:formatCode>
                <c:ptCount val="2"/>
                <c:pt idx="0">
                  <c:v>11.792</c:v>
                </c:pt>
                <c:pt idx="1">
                  <c:v>4.9400000000000004</c:v>
                </c:pt>
              </c:numCache>
            </c:numRef>
          </c:val>
          <c:extLst>
            <c:ext xmlns:c16="http://schemas.microsoft.com/office/drawing/2014/chart" uri="{C3380CC4-5D6E-409C-BE32-E72D297353CC}">
              <c16:uniqueId val="{00000000-60FE-488B-8D67-A59D09533CF1}"/>
            </c:ext>
          </c:extLst>
        </c:ser>
        <c:dLbls>
          <c:showLegendKey val="0"/>
          <c:showVal val="0"/>
          <c:showCatName val="0"/>
          <c:showSerName val="0"/>
          <c:showPercent val="0"/>
          <c:showBubbleSize val="0"/>
        </c:dLbls>
        <c:gapWidth val="219"/>
        <c:overlap val="-27"/>
        <c:axId val="1185365679"/>
        <c:axId val="882028207"/>
      </c:barChart>
      <c:catAx>
        <c:axId val="1185365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2028207"/>
        <c:crosses val="autoZero"/>
        <c:auto val="1"/>
        <c:lblAlgn val="ctr"/>
        <c:lblOffset val="100"/>
        <c:noMultiLvlLbl val="0"/>
      </c:catAx>
      <c:valAx>
        <c:axId val="882028207"/>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Death Count per 100,000 Over 6 Months</a:t>
                </a:r>
                <a:endParaRPr lang="en-US" sz="400">
                  <a:effectLst/>
                </a:endParaRPr>
              </a:p>
            </c:rich>
          </c:tx>
          <c:layout>
            <c:manualLayout>
              <c:xMode val="edge"/>
              <c:yMode val="edge"/>
              <c:x val="1.3888888888888888E-2"/>
              <c:y val="4.907824240654312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85365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Rate</c:v>
                </c:pt>
              </c:strCache>
            </c:strRef>
          </c:tx>
          <c:spPr>
            <a:solidFill>
              <a:srgbClr val="00A0AF"/>
            </a:solidFill>
            <a:ln>
              <a:noFill/>
            </a:ln>
            <a:effectLst/>
          </c:spPr>
          <c:invertIfNegative val="0"/>
          <c:cat>
            <c:strRef>
              <c:f>Sheet1!$A$2:$A$6</c:f>
              <c:strCache>
                <c:ptCount val="5"/>
                <c:pt idx="0">
                  <c:v>Less than High School</c:v>
                </c:pt>
                <c:pt idx="1">
                  <c:v>High School</c:v>
                </c:pt>
                <c:pt idx="2">
                  <c:v>Some college</c:v>
                </c:pt>
                <c:pt idx="3">
                  <c:v>Bachelor's Degree</c:v>
                </c:pt>
                <c:pt idx="4">
                  <c:v>Grad/Prof Degree</c:v>
                </c:pt>
              </c:strCache>
            </c:strRef>
          </c:cat>
          <c:val>
            <c:numRef>
              <c:f>Sheet1!$B$2:$B$6</c:f>
              <c:numCache>
                <c:formatCode>General</c:formatCode>
                <c:ptCount val="5"/>
                <c:pt idx="0">
                  <c:v>13.681202591812154</c:v>
                </c:pt>
                <c:pt idx="1">
                  <c:v>16.644775322402371</c:v>
                </c:pt>
                <c:pt idx="2">
                  <c:v>7.9261521712314167</c:v>
                </c:pt>
                <c:pt idx="3">
                  <c:v>3.5744953259411689</c:v>
                </c:pt>
                <c:pt idx="4">
                  <c:v>2.3586602619113535</c:v>
                </c:pt>
              </c:numCache>
            </c:numRef>
          </c:val>
          <c:extLst>
            <c:ext xmlns:c16="http://schemas.microsoft.com/office/drawing/2014/chart" uri="{C3380CC4-5D6E-409C-BE32-E72D297353CC}">
              <c16:uniqueId val="{00000000-291E-41B3-8F87-12B465C0102D}"/>
            </c:ext>
          </c:extLst>
        </c:ser>
        <c:dLbls>
          <c:showLegendKey val="0"/>
          <c:showVal val="0"/>
          <c:showCatName val="0"/>
          <c:showSerName val="0"/>
          <c:showPercent val="0"/>
          <c:showBubbleSize val="0"/>
        </c:dLbls>
        <c:gapWidth val="219"/>
        <c:overlap val="-27"/>
        <c:axId val="1185365679"/>
        <c:axId val="882028207"/>
      </c:barChart>
      <c:catAx>
        <c:axId val="1185365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2028207"/>
        <c:crosses val="autoZero"/>
        <c:auto val="1"/>
        <c:lblAlgn val="ctr"/>
        <c:lblOffset val="100"/>
        <c:noMultiLvlLbl val="0"/>
      </c:catAx>
      <c:valAx>
        <c:axId val="882028207"/>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Death Count per 100,000 Over 6 Months</a:t>
                </a:r>
                <a:endParaRPr lang="en-US" sz="400">
                  <a:effectLst/>
                </a:endParaRPr>
              </a:p>
            </c:rich>
          </c:tx>
          <c:layout>
            <c:manualLayout>
              <c:xMode val="edge"/>
              <c:yMode val="edge"/>
              <c:x val="1.0058338362502514E-2"/>
              <c:y val="4.277213719620552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85365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Rate</c:v>
                </c:pt>
              </c:strCache>
            </c:strRef>
          </c:tx>
          <c:spPr>
            <a:solidFill>
              <a:srgbClr val="00A0AF"/>
            </a:solidFill>
            <a:ln>
              <a:noFill/>
            </a:ln>
            <a:effectLst/>
          </c:spPr>
          <c:invertIfNegative val="0"/>
          <c:cat>
            <c:strRef>
              <c:f>Sheet1!$A$2:$A$6</c:f>
              <c:strCache>
                <c:ptCount val="5"/>
                <c:pt idx="0">
                  <c:v>White</c:v>
                </c:pt>
                <c:pt idx="1">
                  <c:v>Hispanic/Latino</c:v>
                </c:pt>
                <c:pt idx="2">
                  <c:v>African American</c:v>
                </c:pt>
                <c:pt idx="3">
                  <c:v>American Indian</c:v>
                </c:pt>
                <c:pt idx="4">
                  <c:v>Asian</c:v>
                </c:pt>
              </c:strCache>
            </c:strRef>
          </c:cat>
          <c:val>
            <c:numRef>
              <c:f>Sheet1!$B$2:$B$6</c:f>
              <c:numCache>
                <c:formatCode>General</c:formatCode>
                <c:ptCount val="5"/>
                <c:pt idx="0">
                  <c:v>10.635847890000001</c:v>
                </c:pt>
                <c:pt idx="1">
                  <c:v>3.5948258473304091</c:v>
                </c:pt>
                <c:pt idx="2">
                  <c:v>2.7129477199247138</c:v>
                </c:pt>
                <c:pt idx="3">
                  <c:v>1.1597161014983532</c:v>
                </c:pt>
                <c:pt idx="4">
                  <c:v>1.0160970088136254</c:v>
                </c:pt>
              </c:numCache>
            </c:numRef>
          </c:val>
          <c:extLst>
            <c:ext xmlns:c16="http://schemas.microsoft.com/office/drawing/2014/chart" uri="{C3380CC4-5D6E-409C-BE32-E72D297353CC}">
              <c16:uniqueId val="{00000000-2FD6-469E-8026-79CEB16E32C1}"/>
            </c:ext>
          </c:extLst>
        </c:ser>
        <c:dLbls>
          <c:showLegendKey val="0"/>
          <c:showVal val="0"/>
          <c:showCatName val="0"/>
          <c:showSerName val="0"/>
          <c:showPercent val="0"/>
          <c:showBubbleSize val="0"/>
        </c:dLbls>
        <c:gapWidth val="219"/>
        <c:overlap val="-27"/>
        <c:axId val="1185365679"/>
        <c:axId val="882028207"/>
      </c:barChart>
      <c:catAx>
        <c:axId val="1185365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2028207"/>
        <c:crosses val="autoZero"/>
        <c:auto val="1"/>
        <c:lblAlgn val="ctr"/>
        <c:lblOffset val="100"/>
        <c:noMultiLvlLbl val="0"/>
      </c:catAx>
      <c:valAx>
        <c:axId val="882028207"/>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Death Count per 100,000 Over 6 Months</a:t>
                </a:r>
                <a:endParaRPr lang="en-US" sz="4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85365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0C6904C9F2443BCCC43BDB169C8F8" ma:contentTypeVersion="8" ma:contentTypeDescription="Create a new document." ma:contentTypeScope="" ma:versionID="e820156bc7f4af3010545a4fe0092c55">
  <xsd:schema xmlns:xsd="http://www.w3.org/2001/XMLSchema" xmlns:xs="http://www.w3.org/2001/XMLSchema" xmlns:p="http://schemas.microsoft.com/office/2006/metadata/properties" xmlns:ns3="c12faa49-e300-43c2-a39a-fbc631616ea3" targetNamespace="http://schemas.microsoft.com/office/2006/metadata/properties" ma:root="true" ma:fieldsID="160fcb035c7338f4c11b9247dceae500" ns3:_="">
    <xsd:import namespace="c12faa49-e300-43c2-a39a-fbc631616e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faa49-e300-43c2-a39a-fbc63161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5201-5AC7-40B7-8B77-21E337E03781}">
  <ds:schemaRefs>
    <ds:schemaRef ds:uri="http://schemas.microsoft.com/sharepoint/v3/contenttype/forms"/>
  </ds:schemaRefs>
</ds:datastoreItem>
</file>

<file path=customXml/itemProps2.xml><?xml version="1.0" encoding="utf-8"?>
<ds:datastoreItem xmlns:ds="http://schemas.openxmlformats.org/officeDocument/2006/customXml" ds:itemID="{A407961D-3E99-4EE6-BB60-B4BBF0C08F3E}">
  <ds:schemaRef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12faa49-e300-43c2-a39a-fbc631616ea3"/>
    <ds:schemaRef ds:uri="http://www.w3.org/XML/1998/namespace"/>
    <ds:schemaRef ds:uri="http://purl.org/dc/elements/1.1/"/>
  </ds:schemaRefs>
</ds:datastoreItem>
</file>

<file path=customXml/itemProps3.xml><?xml version="1.0" encoding="utf-8"?>
<ds:datastoreItem xmlns:ds="http://schemas.openxmlformats.org/officeDocument/2006/customXml" ds:itemID="{D6264EC7-0719-45FD-935E-5BAA389D4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faa49-e300-43c2-a39a-fbc63161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A96C5-D069-4AE8-93EB-FBF0AADB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13658</Words>
  <Characters>77854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Schilke, Randolph</dc:creator>
  <cp:keywords/>
  <dc:description/>
  <cp:lastModifiedBy>Jashinsky, Jared M</cp:lastModifiedBy>
  <cp:revision>20</cp:revision>
  <cp:lastPrinted>2019-02-06T14:03:00Z</cp:lastPrinted>
  <dcterms:created xsi:type="dcterms:W3CDTF">2019-08-21T19:55:00Z</dcterms:created>
  <dcterms:modified xsi:type="dcterms:W3CDTF">2019-09-23T16:28:00Z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0x0101009180C6904C9F2443BCCC43BDB169C8F8</vt:lpwstr>
  </property>
  <property fmtid="{D5CDD505-2E9C-101B-9397-08002B2CF9AE}" pid="3" name="Mendeley Document_1">
    <vt:lpwstr>True</vt:lpwstr>
  </property>
  <property fmtid="{D5CDD505-2E9C-101B-9397-08002B2CF9AE}" pid="4" name="Mendeley Unique User Id_1">
    <vt:lpwstr>d73edf20-1064-37a1-be22-37839b1f92f3</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