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DB76" w14:textId="77777777" w:rsidR="00A049F6" w:rsidRDefault="00731499">
      <w:pPr>
        <w:pStyle w:val="Title"/>
        <w:spacing w:line="244" w:lineRule="auto"/>
      </w:pPr>
      <w:r>
        <w:t>Environmental</w:t>
      </w:r>
      <w:r>
        <w:rPr>
          <w:spacing w:val="-9"/>
        </w:rPr>
        <w:t xml:space="preserve"> </w:t>
      </w:r>
      <w:r>
        <w:t>Health</w:t>
      </w:r>
      <w:r>
        <w:rPr>
          <w:spacing w:val="-8"/>
        </w:rPr>
        <w:t xml:space="preserve"> </w:t>
      </w:r>
      <w:r>
        <w:t>Professional</w:t>
      </w:r>
      <w:r>
        <w:rPr>
          <w:spacing w:val="-8"/>
        </w:rPr>
        <w:t xml:space="preserve"> </w:t>
      </w:r>
      <w:r>
        <w:t>Advisory</w:t>
      </w:r>
      <w:r>
        <w:rPr>
          <w:spacing w:val="-7"/>
        </w:rPr>
        <w:t xml:space="preserve"> </w:t>
      </w:r>
      <w:r>
        <w:t>Board</w:t>
      </w:r>
      <w:r>
        <w:rPr>
          <w:spacing w:val="-8"/>
        </w:rPr>
        <w:t xml:space="preserve"> </w:t>
      </w:r>
      <w:r>
        <w:t xml:space="preserve">Meeting </w:t>
      </w:r>
      <w:r>
        <w:rPr>
          <w:spacing w:val="-2"/>
        </w:rPr>
        <w:t>Minutes</w:t>
      </w:r>
    </w:p>
    <w:p w14:paraId="06AF1E4E" w14:textId="4BD5E998" w:rsidR="00A049F6" w:rsidRDefault="00983CD7">
      <w:pPr>
        <w:pStyle w:val="BodyText"/>
        <w:spacing w:before="4"/>
        <w:rPr>
          <w:rFonts w:ascii="Cambria"/>
          <w:sz w:val="7"/>
        </w:rPr>
      </w:pPr>
      <w:r>
        <w:rPr>
          <w:noProof/>
        </w:rPr>
        <mc:AlternateContent>
          <mc:Choice Requires="wps">
            <w:drawing>
              <wp:anchor distT="0" distB="0" distL="0" distR="0" simplePos="0" relativeHeight="487587840" behindDoc="1" locked="0" layoutInCell="1" allowOverlap="1" wp14:anchorId="40B3D079" wp14:editId="0C7A532F">
                <wp:simplePos x="0" y="0"/>
                <wp:positionH relativeFrom="page">
                  <wp:posOffset>923290</wp:posOffset>
                </wp:positionH>
                <wp:positionV relativeFrom="paragraph">
                  <wp:posOffset>80010</wp:posOffset>
                </wp:positionV>
                <wp:extent cx="5857875" cy="0"/>
                <wp:effectExtent l="0" t="0" r="0" b="0"/>
                <wp:wrapTopAndBottom/>
                <wp:docPr id="83715730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28575">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C4348" id="Line 3" o:spid="_x0000_s1026" style="position:absolute;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7pt,6.3pt" to="53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" strokecolor="#5b9bd4" strokeweight="2.25pt">
                <w10:wrap type="topAndBottom" anchorx="page"/>
              </v:line>
            </w:pict>
          </mc:Fallback>
        </mc:AlternateContent>
      </w:r>
    </w:p>
    <w:p w14:paraId="072A4120" w14:textId="77777777" w:rsidR="00A049F6" w:rsidRDefault="00A049F6">
      <w:pPr>
        <w:pStyle w:val="BodyText"/>
        <w:spacing w:before="5"/>
        <w:rPr>
          <w:rFonts w:ascii="Cambria"/>
          <w:sz w:val="18"/>
        </w:rPr>
      </w:pPr>
    </w:p>
    <w:p w14:paraId="7B11113C" w14:textId="77777777" w:rsidR="00A049F6" w:rsidRDefault="00A049F6">
      <w:pPr>
        <w:rPr>
          <w:rFonts w:ascii="Cambria"/>
          <w:sz w:val="18"/>
        </w:rPr>
        <w:sectPr w:rsidR="00A049F6">
          <w:type w:val="continuous"/>
          <w:pgSz w:w="12240" w:h="15840"/>
          <w:pgMar w:top="640" w:right="1420" w:bottom="280" w:left="1300" w:header="720" w:footer="720" w:gutter="0"/>
          <w:cols w:space="720"/>
        </w:sectPr>
      </w:pPr>
    </w:p>
    <w:p w14:paraId="58CF15DE" w14:textId="77777777" w:rsidR="00A049F6" w:rsidRDefault="00A049F6">
      <w:pPr>
        <w:pStyle w:val="BodyText"/>
        <w:rPr>
          <w:rFonts w:ascii="Cambria"/>
          <w:sz w:val="28"/>
        </w:rPr>
      </w:pPr>
    </w:p>
    <w:p w14:paraId="1B86D538" w14:textId="77777777" w:rsidR="00A049F6" w:rsidRDefault="00A049F6">
      <w:pPr>
        <w:pStyle w:val="BodyText"/>
        <w:spacing w:before="2"/>
        <w:rPr>
          <w:rFonts w:ascii="Cambria"/>
          <w:sz w:val="30"/>
        </w:rPr>
      </w:pPr>
    </w:p>
    <w:p w14:paraId="1EAE8A94" w14:textId="77777777" w:rsidR="00A049F6" w:rsidRDefault="00731499">
      <w:pPr>
        <w:pStyle w:val="Heading1"/>
        <w:numPr>
          <w:ilvl w:val="0"/>
          <w:numId w:val="1"/>
        </w:numPr>
        <w:tabs>
          <w:tab w:val="left" w:pos="405"/>
        </w:tabs>
        <w:ind w:hanging="265"/>
      </w:pPr>
      <w:r>
        <w:rPr>
          <w:spacing w:val="-4"/>
        </w:rPr>
        <w:t>Roll</w:t>
      </w:r>
    </w:p>
    <w:p w14:paraId="29072350" w14:textId="15C44723" w:rsidR="00A049F6" w:rsidRDefault="00731499">
      <w:pPr>
        <w:spacing w:before="113"/>
        <w:ind w:left="140"/>
        <w:rPr>
          <w:sz w:val="32"/>
        </w:rPr>
      </w:pPr>
      <w:r>
        <w:br w:type="column"/>
      </w:r>
      <w:r w:rsidR="00983CD7">
        <w:rPr>
          <w:sz w:val="32"/>
        </w:rPr>
        <w:t>August 28</w:t>
      </w:r>
      <w:r>
        <w:rPr>
          <w:sz w:val="32"/>
        </w:rPr>
        <w:t>,</w:t>
      </w:r>
      <w:r>
        <w:rPr>
          <w:spacing w:val="-15"/>
          <w:sz w:val="32"/>
        </w:rPr>
        <w:t xml:space="preserve"> </w:t>
      </w:r>
      <w:r>
        <w:rPr>
          <w:spacing w:val="-4"/>
          <w:sz w:val="32"/>
        </w:rPr>
        <w:t>2025</w:t>
      </w:r>
    </w:p>
    <w:p w14:paraId="11E27BD9" w14:textId="77777777" w:rsidR="00A049F6" w:rsidRDefault="00A049F6">
      <w:pPr>
        <w:rPr>
          <w:sz w:val="32"/>
        </w:rPr>
        <w:sectPr w:rsidR="00A049F6">
          <w:type w:val="continuous"/>
          <w:pgSz w:w="12240" w:h="15840"/>
          <w:pgMar w:top="640" w:right="1420" w:bottom="280" w:left="1300" w:header="720" w:footer="720" w:gutter="0"/>
          <w:cols w:num="2" w:space="720" w:equalWidth="0">
            <w:col w:w="878" w:space="2843"/>
            <w:col w:w="5799"/>
          </w:cols>
        </w:sectPr>
      </w:pPr>
    </w:p>
    <w:p w14:paraId="38B5E7C2" w14:textId="5E5B692B" w:rsidR="00A049F6" w:rsidRDefault="00731499">
      <w:pPr>
        <w:pStyle w:val="BodyText"/>
        <w:spacing w:before="200" w:line="271" w:lineRule="auto"/>
        <w:ind w:left="140"/>
      </w:pPr>
      <w:r>
        <w:rPr>
          <w:b/>
        </w:rPr>
        <w:t>Attendance:</w:t>
      </w:r>
      <w:r>
        <w:rPr>
          <w:b/>
          <w:spacing w:val="-13"/>
        </w:rPr>
        <w:t xml:space="preserve"> </w:t>
      </w:r>
      <w:r>
        <w:t>Michael</w:t>
      </w:r>
      <w:r>
        <w:rPr>
          <w:spacing w:val="-13"/>
        </w:rPr>
        <w:t xml:space="preserve"> </w:t>
      </w:r>
      <w:r>
        <w:t>Lawhorn,</w:t>
      </w:r>
      <w:r>
        <w:rPr>
          <w:spacing w:val="-12"/>
        </w:rPr>
        <w:t xml:space="preserve"> </w:t>
      </w:r>
      <w:r>
        <w:t>Tim</w:t>
      </w:r>
      <w:r>
        <w:rPr>
          <w:spacing w:val="-14"/>
        </w:rPr>
        <w:t xml:space="preserve"> </w:t>
      </w:r>
      <w:r>
        <w:t>Wallace,</w:t>
      </w:r>
      <w:r>
        <w:rPr>
          <w:spacing w:val="-13"/>
        </w:rPr>
        <w:t xml:space="preserve"> </w:t>
      </w:r>
      <w:r>
        <w:t>Keith</w:t>
      </w:r>
      <w:r>
        <w:rPr>
          <w:spacing w:val="-14"/>
        </w:rPr>
        <w:t xml:space="preserve"> </w:t>
      </w:r>
      <w:r>
        <w:t>Burney,</w:t>
      </w:r>
      <w:r>
        <w:rPr>
          <w:spacing w:val="-14"/>
        </w:rPr>
        <w:t xml:space="preserve"> </w:t>
      </w:r>
      <w:r>
        <w:t>Shawn</w:t>
      </w:r>
      <w:r>
        <w:rPr>
          <w:spacing w:val="-16"/>
        </w:rPr>
        <w:t xml:space="preserve"> </w:t>
      </w:r>
      <w:r>
        <w:t>Sombutmai</w:t>
      </w:r>
      <w:r w:rsidR="005A71DF">
        <w:t>, Michael Crea</w:t>
      </w:r>
    </w:p>
    <w:p w14:paraId="5D03F83E" w14:textId="079338CA" w:rsidR="00A049F6" w:rsidRDefault="00591324">
      <w:pPr>
        <w:pStyle w:val="Heading1"/>
        <w:numPr>
          <w:ilvl w:val="0"/>
          <w:numId w:val="1"/>
        </w:numPr>
        <w:tabs>
          <w:tab w:val="left" w:pos="405"/>
        </w:tabs>
        <w:spacing w:before="199"/>
        <w:ind w:hanging="265"/>
      </w:pPr>
      <w:r>
        <w:t>CEHP Renewal</w:t>
      </w:r>
    </w:p>
    <w:p w14:paraId="7C57595B" w14:textId="61154366" w:rsidR="00A049F6" w:rsidRDefault="00591324" w:rsidP="004E5038">
      <w:pPr>
        <w:pStyle w:val="BodyText"/>
        <w:numPr>
          <w:ilvl w:val="0"/>
          <w:numId w:val="3"/>
        </w:numPr>
        <w:spacing w:before="197" w:line="273" w:lineRule="auto"/>
      </w:pPr>
      <w:r>
        <w:t>The CEHP Certification Renewal Deadline is September 30, 2025</w:t>
      </w:r>
      <w:r w:rsidR="00731499">
        <w:t>.</w:t>
      </w:r>
      <w:r>
        <w:t xml:space="preserve"> Tons of applications </w:t>
      </w:r>
      <w:r w:rsidR="004E5038">
        <w:t>being submitted the past few weeks to</w:t>
      </w:r>
      <w:r>
        <w:t xml:space="preserve"> CEHP Program </w:t>
      </w:r>
      <w:r w:rsidR="004E5038">
        <w:t>Consultant</w:t>
      </w:r>
      <w:r>
        <w:t xml:space="preserve">. </w:t>
      </w:r>
    </w:p>
    <w:p w14:paraId="386721BB" w14:textId="04F8117D" w:rsidR="00591324" w:rsidRDefault="004E5038" w:rsidP="004E5038">
      <w:pPr>
        <w:pStyle w:val="BodyText"/>
        <w:numPr>
          <w:ilvl w:val="0"/>
          <w:numId w:val="3"/>
        </w:numPr>
        <w:spacing w:before="197" w:line="273" w:lineRule="auto"/>
      </w:pPr>
      <w:r>
        <w:t>According to Rule 64E-18.004(4), Florida Administrative Code, if applicants haven’t renewed their certification by September 30, 2025, their certification reverts to inactive status</w:t>
      </w:r>
      <w:r w:rsidR="00CF6FCB">
        <w:t>,</w:t>
      </w:r>
      <w:r>
        <w:t xml:space="preserve"> and they may not perform any CEHP duties.</w:t>
      </w:r>
    </w:p>
    <w:p w14:paraId="43AF6F1A" w14:textId="5B0C3BF4" w:rsidR="004E5038" w:rsidRPr="004E5038" w:rsidRDefault="004E5038" w:rsidP="004E5038">
      <w:pPr>
        <w:pStyle w:val="BodyText"/>
        <w:numPr>
          <w:ilvl w:val="0"/>
          <w:numId w:val="3"/>
        </w:numPr>
        <w:spacing w:before="197" w:line="273" w:lineRule="auto"/>
      </w:pPr>
      <w:r>
        <w:t>A certificate can remain inactive no longer than 3 months, if it is not renewed by then, it will expire. Any current active CEHP who hasn’t renewed by December 31, 2025, will have their certification expire as of January 1, 2026. If they seek to become certified again, the</w:t>
      </w:r>
      <w:r w:rsidR="00CF6FCB">
        <w:t>y</w:t>
      </w:r>
      <w:r>
        <w:t xml:space="preserve"> </w:t>
      </w:r>
      <w:r w:rsidR="00CF6FCB">
        <w:t>will</w:t>
      </w:r>
      <w:r>
        <w:t xml:space="preserve"> have to go through the Initial CEHP Application Process all over again.</w:t>
      </w:r>
    </w:p>
    <w:p w14:paraId="3E0BFB69" w14:textId="579A3BB1" w:rsidR="00A049F6" w:rsidRPr="004E5038" w:rsidRDefault="004E5038">
      <w:pPr>
        <w:pStyle w:val="ListParagraph"/>
        <w:numPr>
          <w:ilvl w:val="0"/>
          <w:numId w:val="1"/>
        </w:numPr>
        <w:tabs>
          <w:tab w:val="left" w:pos="405"/>
        </w:tabs>
        <w:spacing w:before="156"/>
        <w:ind w:hanging="265"/>
        <w:rPr>
          <w:sz w:val="24"/>
        </w:rPr>
      </w:pPr>
      <w:r>
        <w:rPr>
          <w:b/>
          <w:w w:val="95"/>
          <w:sz w:val="24"/>
        </w:rPr>
        <w:t>EHT Update</w:t>
      </w:r>
    </w:p>
    <w:p w14:paraId="3E6A26C0" w14:textId="77777777" w:rsidR="00CF6FCB" w:rsidRDefault="00EC457D" w:rsidP="004E5038">
      <w:pPr>
        <w:pStyle w:val="ListParagraph"/>
        <w:numPr>
          <w:ilvl w:val="0"/>
          <w:numId w:val="5"/>
        </w:numPr>
        <w:tabs>
          <w:tab w:val="left" w:pos="405"/>
        </w:tabs>
        <w:spacing w:before="156"/>
        <w:rPr>
          <w:bCs/>
          <w:sz w:val="24"/>
        </w:rPr>
      </w:pPr>
      <w:r>
        <w:rPr>
          <w:bCs/>
          <w:sz w:val="24"/>
        </w:rPr>
        <w:t xml:space="preserve">SB 1582 creates the Environmental Health Professional (EHT) position which exempts them from </w:t>
      </w:r>
      <w:r w:rsidRPr="00CF6FCB">
        <w:rPr>
          <w:bCs/>
          <w:i/>
          <w:iCs/>
          <w:sz w:val="24"/>
        </w:rPr>
        <w:t>“certain certification requirements under certain circumstances”.</w:t>
      </w:r>
      <w:r w:rsidR="00CF6FCB" w:rsidRPr="00CF6FCB">
        <w:rPr>
          <w:bCs/>
          <w:i/>
          <w:iCs/>
          <w:sz w:val="24"/>
        </w:rPr>
        <w:t xml:space="preserve"> </w:t>
      </w:r>
    </w:p>
    <w:p w14:paraId="7D5B31D2" w14:textId="5AA31BB0" w:rsidR="004E5038" w:rsidRDefault="00CF6FCB" w:rsidP="004E5038">
      <w:pPr>
        <w:pStyle w:val="ListParagraph"/>
        <w:numPr>
          <w:ilvl w:val="0"/>
          <w:numId w:val="5"/>
        </w:numPr>
        <w:tabs>
          <w:tab w:val="left" w:pos="405"/>
        </w:tabs>
        <w:spacing w:before="156"/>
        <w:rPr>
          <w:bCs/>
          <w:sz w:val="24"/>
        </w:rPr>
      </w:pPr>
      <w:r>
        <w:rPr>
          <w:bCs/>
          <w:sz w:val="24"/>
        </w:rPr>
        <w:t>According to the bill, EHT’s are individuals employed or assigned the responsibility for conducting septic inspections under the supervision of a certified environmental health professional. The EHT must have completed training approved by the department and have the knowledge, skills, and abilities to carry out these tasks.</w:t>
      </w:r>
    </w:p>
    <w:p w14:paraId="0F4C084B" w14:textId="04C0588B" w:rsidR="00A24B12" w:rsidRPr="00A24B12" w:rsidRDefault="00CF6FCB" w:rsidP="00A24B12">
      <w:pPr>
        <w:pStyle w:val="ListParagraph"/>
        <w:numPr>
          <w:ilvl w:val="0"/>
          <w:numId w:val="5"/>
        </w:numPr>
        <w:tabs>
          <w:tab w:val="left" w:pos="405"/>
        </w:tabs>
        <w:spacing w:before="156"/>
        <w:rPr>
          <w:bCs/>
          <w:sz w:val="24"/>
        </w:rPr>
      </w:pPr>
      <w:r>
        <w:rPr>
          <w:bCs/>
          <w:sz w:val="24"/>
        </w:rPr>
        <w:t>We are currently in the Rulemaking phase which addresses the process for application, examination, issuance, expiration, and renewal of certification and ethical standards or practice for the profession.</w:t>
      </w:r>
    </w:p>
    <w:p w14:paraId="6CB8AEA7" w14:textId="08C8B52A" w:rsidR="00A049F6" w:rsidRPr="00A24B12" w:rsidRDefault="00A24B12">
      <w:pPr>
        <w:pStyle w:val="ListParagraph"/>
        <w:numPr>
          <w:ilvl w:val="0"/>
          <w:numId w:val="1"/>
        </w:numPr>
        <w:tabs>
          <w:tab w:val="left" w:pos="404"/>
        </w:tabs>
        <w:spacing w:before="197"/>
        <w:ind w:left="403"/>
        <w:rPr>
          <w:b/>
          <w:sz w:val="24"/>
        </w:rPr>
      </w:pPr>
      <w:r>
        <w:rPr>
          <w:b/>
          <w:spacing w:val="-2"/>
          <w:sz w:val="24"/>
        </w:rPr>
        <w:t>Comments</w:t>
      </w:r>
    </w:p>
    <w:p w14:paraId="595FF6E0" w14:textId="7F4EE7DD" w:rsidR="00A24B12" w:rsidRDefault="00A24B12" w:rsidP="00A24B12">
      <w:pPr>
        <w:pStyle w:val="ListParagraph"/>
        <w:numPr>
          <w:ilvl w:val="0"/>
          <w:numId w:val="6"/>
        </w:numPr>
        <w:tabs>
          <w:tab w:val="left" w:pos="404"/>
        </w:tabs>
        <w:spacing w:before="197"/>
        <w:rPr>
          <w:bCs/>
          <w:sz w:val="24"/>
        </w:rPr>
      </w:pPr>
      <w:r>
        <w:rPr>
          <w:bCs/>
          <w:sz w:val="24"/>
        </w:rPr>
        <w:t>Please make sure to spread the word to colleagues about the CEHP Renewal deadline and advise them to submit at their earliest convenience.</w:t>
      </w:r>
    </w:p>
    <w:p w14:paraId="6114CF0F" w14:textId="7138D4E3" w:rsidR="00731499" w:rsidRPr="00A24B12" w:rsidRDefault="00731499" w:rsidP="00A24B12">
      <w:pPr>
        <w:pStyle w:val="ListParagraph"/>
        <w:numPr>
          <w:ilvl w:val="0"/>
          <w:numId w:val="6"/>
        </w:numPr>
        <w:tabs>
          <w:tab w:val="left" w:pos="404"/>
        </w:tabs>
        <w:spacing w:before="197"/>
        <w:rPr>
          <w:bCs/>
          <w:sz w:val="24"/>
        </w:rPr>
      </w:pPr>
      <w:r>
        <w:rPr>
          <w:bCs/>
          <w:sz w:val="24"/>
        </w:rPr>
        <w:t>Board member Tim Wallace will be retiring in about a month, but will continue to be a member of the Board.</w:t>
      </w:r>
    </w:p>
    <w:p w14:paraId="3B6AD0FA" w14:textId="74B7F8C8" w:rsidR="00A24B12" w:rsidRPr="00A24B12" w:rsidRDefault="00A24B12">
      <w:pPr>
        <w:pStyle w:val="ListParagraph"/>
        <w:numPr>
          <w:ilvl w:val="0"/>
          <w:numId w:val="1"/>
        </w:numPr>
        <w:tabs>
          <w:tab w:val="left" w:pos="404"/>
        </w:tabs>
        <w:spacing w:before="197"/>
        <w:ind w:left="403"/>
        <w:rPr>
          <w:b/>
          <w:sz w:val="24"/>
        </w:rPr>
      </w:pPr>
      <w:r>
        <w:rPr>
          <w:b/>
          <w:sz w:val="24"/>
        </w:rPr>
        <w:t>Adjourn</w:t>
      </w:r>
    </w:p>
    <w:p w14:paraId="04112FC3" w14:textId="77777777" w:rsidR="00A049F6" w:rsidRDefault="00A049F6">
      <w:pPr>
        <w:pStyle w:val="BodyText"/>
        <w:rPr>
          <w:b/>
          <w:sz w:val="20"/>
        </w:rPr>
      </w:pPr>
    </w:p>
    <w:p w14:paraId="248C981A" w14:textId="5E54B804" w:rsidR="00A049F6" w:rsidRDefault="00983CD7">
      <w:pPr>
        <w:pStyle w:val="BodyText"/>
        <w:spacing w:before="9"/>
        <w:rPr>
          <w:b/>
          <w:sz w:val="17"/>
        </w:rPr>
      </w:pPr>
      <w:r>
        <w:rPr>
          <w:noProof/>
        </w:rPr>
        <mc:AlternateContent>
          <mc:Choice Requires="wps">
            <w:drawing>
              <wp:anchor distT="0" distB="0" distL="0" distR="0" simplePos="0" relativeHeight="487588352" behindDoc="1" locked="0" layoutInCell="1" allowOverlap="1" wp14:anchorId="4D51802F" wp14:editId="1DA8586B">
                <wp:simplePos x="0" y="0"/>
                <wp:positionH relativeFrom="page">
                  <wp:posOffset>914400</wp:posOffset>
                </wp:positionH>
                <wp:positionV relativeFrom="paragraph">
                  <wp:posOffset>154940</wp:posOffset>
                </wp:positionV>
                <wp:extent cx="5857875" cy="0"/>
                <wp:effectExtent l="0" t="0" r="0" b="0"/>
                <wp:wrapTopAndBottom/>
                <wp:docPr id="19799347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28575">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46552" id="Line 2" o:spid="_x0000_s1026" style="position:absolute;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2pt" to="533.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" strokecolor="#5b9bd4" strokeweight="2.25pt">
                <w10:wrap type="topAndBottom" anchorx="page"/>
              </v:line>
            </w:pict>
          </mc:Fallback>
        </mc:AlternateContent>
      </w:r>
    </w:p>
    <w:sectPr w:rsidR="00A049F6">
      <w:type w:val="continuous"/>
      <w:pgSz w:w="12240" w:h="15840"/>
      <w:pgMar w:top="640" w:right="14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2356F"/>
    <w:multiLevelType w:val="hybridMultilevel"/>
    <w:tmpl w:val="26B08D5A"/>
    <w:lvl w:ilvl="0" w:tplc="04090019">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 w15:restartNumberingAfterBreak="0">
    <w:nsid w:val="20CB3552"/>
    <w:multiLevelType w:val="hybridMultilevel"/>
    <w:tmpl w:val="55A043AA"/>
    <w:lvl w:ilvl="0" w:tplc="CCAC673E">
      <w:start w:val="1"/>
      <w:numFmt w:val="lowerLetter"/>
      <w:lvlText w:val="%1."/>
      <w:lvlJc w:val="left"/>
      <w:pPr>
        <w:ind w:left="764" w:hanging="360"/>
      </w:pPr>
      <w:rPr>
        <w:rFonts w:hint="default"/>
        <w:w w:val="95"/>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20E078E3"/>
    <w:multiLevelType w:val="hybridMultilevel"/>
    <w:tmpl w:val="D6F2810A"/>
    <w:lvl w:ilvl="0" w:tplc="C5E6867C">
      <w:start w:val="1"/>
      <w:numFmt w:val="lowerLetter"/>
      <w:lvlText w:val="%1."/>
      <w:lvlJc w:val="left"/>
      <w:pPr>
        <w:ind w:left="860" w:hanging="360"/>
      </w:pPr>
      <w:rPr>
        <w:rFonts w:hint="default"/>
        <w:b/>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 w15:restartNumberingAfterBreak="0">
    <w:nsid w:val="41702530"/>
    <w:multiLevelType w:val="hybridMultilevel"/>
    <w:tmpl w:val="996434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B71CEB"/>
    <w:multiLevelType w:val="hybridMultilevel"/>
    <w:tmpl w:val="726C0D14"/>
    <w:lvl w:ilvl="0" w:tplc="E0603F9A">
      <w:start w:val="1"/>
      <w:numFmt w:val="lowerLetter"/>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5" w15:restartNumberingAfterBreak="0">
    <w:nsid w:val="70AC56A0"/>
    <w:multiLevelType w:val="hybridMultilevel"/>
    <w:tmpl w:val="EE98CE1C"/>
    <w:lvl w:ilvl="0" w:tplc="A15E26AA">
      <w:start w:val="1"/>
      <w:numFmt w:val="decimal"/>
      <w:lvlText w:val="%1."/>
      <w:lvlJc w:val="left"/>
      <w:pPr>
        <w:ind w:left="404" w:hanging="264"/>
      </w:pPr>
      <w:rPr>
        <w:rFonts w:ascii="Arial" w:eastAsia="Arial" w:hAnsi="Arial" w:cs="Arial" w:hint="default"/>
        <w:b/>
        <w:bCs/>
        <w:i w:val="0"/>
        <w:iCs w:val="0"/>
        <w:w w:val="101"/>
        <w:sz w:val="24"/>
        <w:szCs w:val="24"/>
        <w:lang w:val="en-US" w:eastAsia="en-US" w:bidi="ar-SA"/>
      </w:rPr>
    </w:lvl>
    <w:lvl w:ilvl="1" w:tplc="A33491E2">
      <w:numFmt w:val="bullet"/>
      <w:lvlText w:val="•"/>
      <w:lvlJc w:val="left"/>
      <w:pPr>
        <w:ind w:left="860" w:hanging="264"/>
      </w:pPr>
      <w:rPr>
        <w:rFonts w:hint="default"/>
        <w:lang w:val="en-US" w:eastAsia="en-US" w:bidi="ar-SA"/>
      </w:rPr>
    </w:lvl>
    <w:lvl w:ilvl="2" w:tplc="EDEE540C">
      <w:numFmt w:val="bullet"/>
      <w:lvlText w:val="•"/>
      <w:lvlJc w:val="left"/>
      <w:pPr>
        <w:ind w:left="861" w:hanging="264"/>
      </w:pPr>
      <w:rPr>
        <w:rFonts w:hint="default"/>
        <w:lang w:val="en-US" w:eastAsia="en-US" w:bidi="ar-SA"/>
      </w:rPr>
    </w:lvl>
    <w:lvl w:ilvl="3" w:tplc="E6AAB854">
      <w:numFmt w:val="bullet"/>
      <w:lvlText w:val="•"/>
      <w:lvlJc w:val="left"/>
      <w:pPr>
        <w:ind w:left="863" w:hanging="264"/>
      </w:pPr>
      <w:rPr>
        <w:rFonts w:hint="default"/>
        <w:lang w:val="en-US" w:eastAsia="en-US" w:bidi="ar-SA"/>
      </w:rPr>
    </w:lvl>
    <w:lvl w:ilvl="4" w:tplc="13F86FEC">
      <w:numFmt w:val="bullet"/>
      <w:lvlText w:val="•"/>
      <w:lvlJc w:val="left"/>
      <w:pPr>
        <w:ind w:left="865" w:hanging="264"/>
      </w:pPr>
      <w:rPr>
        <w:rFonts w:hint="default"/>
        <w:lang w:val="en-US" w:eastAsia="en-US" w:bidi="ar-SA"/>
      </w:rPr>
    </w:lvl>
    <w:lvl w:ilvl="5" w:tplc="3A1A672C">
      <w:numFmt w:val="bullet"/>
      <w:lvlText w:val="•"/>
      <w:lvlJc w:val="left"/>
      <w:pPr>
        <w:ind w:left="867" w:hanging="264"/>
      </w:pPr>
      <w:rPr>
        <w:rFonts w:hint="default"/>
        <w:lang w:val="en-US" w:eastAsia="en-US" w:bidi="ar-SA"/>
      </w:rPr>
    </w:lvl>
    <w:lvl w:ilvl="6" w:tplc="586A7788">
      <w:numFmt w:val="bullet"/>
      <w:lvlText w:val="•"/>
      <w:lvlJc w:val="left"/>
      <w:pPr>
        <w:ind w:left="869" w:hanging="264"/>
      </w:pPr>
      <w:rPr>
        <w:rFonts w:hint="default"/>
        <w:lang w:val="en-US" w:eastAsia="en-US" w:bidi="ar-SA"/>
      </w:rPr>
    </w:lvl>
    <w:lvl w:ilvl="7" w:tplc="FD2E7814">
      <w:numFmt w:val="bullet"/>
      <w:lvlText w:val="•"/>
      <w:lvlJc w:val="left"/>
      <w:pPr>
        <w:ind w:left="871" w:hanging="264"/>
      </w:pPr>
      <w:rPr>
        <w:rFonts w:hint="default"/>
        <w:lang w:val="en-US" w:eastAsia="en-US" w:bidi="ar-SA"/>
      </w:rPr>
    </w:lvl>
    <w:lvl w:ilvl="8" w:tplc="0F6AC45C">
      <w:numFmt w:val="bullet"/>
      <w:lvlText w:val="•"/>
      <w:lvlJc w:val="left"/>
      <w:pPr>
        <w:ind w:left="873" w:hanging="264"/>
      </w:pPr>
      <w:rPr>
        <w:rFonts w:hint="default"/>
        <w:lang w:val="en-US" w:eastAsia="en-US" w:bidi="ar-SA"/>
      </w:rPr>
    </w:lvl>
  </w:abstractNum>
  <w:num w:numId="1" w16cid:durableId="1199588833">
    <w:abstractNumId w:val="5"/>
  </w:num>
  <w:num w:numId="2" w16cid:durableId="409811842">
    <w:abstractNumId w:val="0"/>
  </w:num>
  <w:num w:numId="3" w16cid:durableId="1489445461">
    <w:abstractNumId w:val="3"/>
  </w:num>
  <w:num w:numId="4" w16cid:durableId="1438867521">
    <w:abstractNumId w:val="2"/>
  </w:num>
  <w:num w:numId="5" w16cid:durableId="883836921">
    <w:abstractNumId w:val="1"/>
  </w:num>
  <w:num w:numId="6" w16cid:durableId="1247880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F6"/>
    <w:rsid w:val="002D5693"/>
    <w:rsid w:val="004E5038"/>
    <w:rsid w:val="00591324"/>
    <w:rsid w:val="005A71DF"/>
    <w:rsid w:val="00731499"/>
    <w:rsid w:val="00983CD7"/>
    <w:rsid w:val="00A049F6"/>
    <w:rsid w:val="00A24B12"/>
    <w:rsid w:val="00AE43DC"/>
    <w:rsid w:val="00CF6FCB"/>
    <w:rsid w:val="00EC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EBC728"/>
  <w15:docId w15:val="{D26C01F7-ED5D-40C5-A96E-E19C9083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4" w:hanging="2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3"/>
      <w:ind w:left="4201" w:hanging="3973"/>
    </w:pPr>
    <w:rPr>
      <w:rFonts w:ascii="Cambria" w:eastAsia="Cambria" w:hAnsi="Cambria" w:cs="Cambria"/>
      <w:sz w:val="36"/>
      <w:szCs w:val="36"/>
    </w:rPr>
  </w:style>
  <w:style w:type="paragraph" w:styleId="ListParagraph">
    <w:name w:val="List Paragraph"/>
    <w:basedOn w:val="Normal"/>
    <w:uiPriority w:val="1"/>
    <w:qFormat/>
    <w:pPr>
      <w:ind w:left="404" w:hanging="2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Florida Dept of Health</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Lawhorn, Michael J</dc:creator>
  <cp:lastModifiedBy>Lawhorn, Michael J</cp:lastModifiedBy>
  <cp:revision>4</cp:revision>
  <dcterms:created xsi:type="dcterms:W3CDTF">2025-08-28T15:00:00Z</dcterms:created>
  <dcterms:modified xsi:type="dcterms:W3CDTF">2025-08-28T17:11:00Z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Microsoft® Word for Microsoft 365</vt:lpwstr>
  </property>
  <property fmtid="{D5CDD505-2E9C-101B-9397-08002B2CF9AE}" pid="4" name="LastSaved">
    <vt:filetime>2025-05-22T00:00:00Z</vt:filetime>
  </property>
</Properties>
</file>