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1DDC42" w14:textId="63A05002" w:rsidR="00CC5546" w:rsidRDefault="00CC5546" w:rsidP="00CC5546">
      <w:bookmarkStart w:id="0" w:name="_GoBack"/>
      <w:bookmarkEnd w:id="0"/>
      <w:r>
        <w:t>This attachment is offered to provide a better understanding of the current environment and the current application (called EHD, or Environmental Health Database) that the Department is seeking to replace through this ITN.  To do so, it is best to understand the program areas within the Bureau of Environmental Health that the application serves.</w:t>
      </w:r>
    </w:p>
    <w:p w14:paraId="182A410F" w14:textId="3A2169D2" w:rsidR="00CC5546" w:rsidRDefault="00CC5546" w:rsidP="00CC5546"/>
    <w:p w14:paraId="2EE5819F" w14:textId="2B25810B" w:rsidR="00CC5546" w:rsidRPr="00CC5546" w:rsidRDefault="00CC5546" w:rsidP="00CC5546">
      <w:pPr>
        <w:rPr>
          <w:b/>
        </w:rPr>
      </w:pPr>
      <w:r w:rsidRPr="00CC5546">
        <w:rPr>
          <w:b/>
        </w:rPr>
        <w:t>Program Areas</w:t>
      </w:r>
    </w:p>
    <w:p w14:paraId="58D43CB1" w14:textId="77777777" w:rsidR="00CC5546" w:rsidRDefault="00CC5546" w:rsidP="00CC5546"/>
    <w:p w14:paraId="2EFBE813" w14:textId="57FA4AEA" w:rsidR="007C524F" w:rsidRDefault="00CC5546" w:rsidP="00CC5546">
      <w:r>
        <w:t>Environmental Health programs are defined in</w:t>
      </w:r>
      <w:r w:rsidRPr="648962F7">
        <w:t xml:space="preserve"> </w:t>
      </w:r>
      <w:r>
        <w:t>Florida Administrative Code Chapter 64E, and described below.</w:t>
      </w:r>
    </w:p>
    <w:p w14:paraId="57A64052" w14:textId="386742D7" w:rsidR="00CC5546" w:rsidRDefault="00CC5546" w:rsidP="00CC5546"/>
    <w:p w14:paraId="288EBBE1" w14:textId="710B60F5" w:rsidR="001943E4" w:rsidRDefault="001943E4" w:rsidP="001943E4">
      <w:pPr>
        <w:pStyle w:val="ListParagraph"/>
        <w:numPr>
          <w:ilvl w:val="0"/>
          <w:numId w:val="4"/>
        </w:numPr>
        <w:ind w:left="360"/>
      </w:pPr>
      <w:r w:rsidRPr="001943E4">
        <w:rPr>
          <w:u w:val="single"/>
        </w:rPr>
        <w:t>Biomedical Waste (BMW)</w:t>
      </w:r>
      <w:r>
        <w:t xml:space="preserve"> – Pursuant to Florida Administrative Code Rule 64E-16 and section 381.0098, Florida Statutes, this program minimizes the risk from potentially infectious medical waste to health care workers, treatment personnel, transporters and the public by propagating minimum sanitary practices related to the management of biomedical waste and assuring these practices are maintained</w:t>
      </w:r>
      <w:r>
        <w:rPr>
          <w:rStyle w:val="FootnoteReference"/>
        </w:rPr>
        <w:footnoteReference w:id="1"/>
      </w:r>
      <w:r>
        <w:t>. The program works with facilities that generate, transport, store or treat biomedical waste from primates or other animals and monitors the treatment and disposal of biomedical waste to ensure the waste is properly handled to protect public health.  The program maintains a set of regulations for generators, transporters, and disposal facilities with distinct inspection forms for each. In addition to inspections, program activities include complaint investigations and re-inspections. All facilities are billed annually. There are many small generators who are exempt from fees but still need to be permitted. These inspection forms are available for remote devices.</w:t>
      </w:r>
    </w:p>
    <w:p w14:paraId="06CA73FE" w14:textId="77777777" w:rsidR="001943E4" w:rsidRDefault="001943E4" w:rsidP="001943E4">
      <w:pPr>
        <w:ind w:left="360"/>
      </w:pPr>
    </w:p>
    <w:p w14:paraId="1FD0952B" w14:textId="070A26C4" w:rsidR="001943E4" w:rsidRDefault="001943E4" w:rsidP="001943E4">
      <w:pPr>
        <w:pStyle w:val="ListParagraph"/>
        <w:numPr>
          <w:ilvl w:val="0"/>
          <w:numId w:val="4"/>
        </w:numPr>
        <w:ind w:left="360"/>
      </w:pPr>
      <w:r w:rsidRPr="001943E4">
        <w:rPr>
          <w:u w:val="single"/>
        </w:rPr>
        <w:t>Body Piercing (BP)</w:t>
      </w:r>
      <w:r>
        <w:t xml:space="preserve"> – Pursuant to section 381.0075, Florida Statutes, this program regulates establishments to reduce the occurrence of infection of the pierced site as well as the incidence of transmission of bloodborne pathogens. The facilities which provide piercing services are regulated and inspected</w:t>
      </w:r>
      <w:r>
        <w:rPr>
          <w:rStyle w:val="FootnoteReference"/>
        </w:rPr>
        <w:footnoteReference w:id="2"/>
      </w:r>
      <w:r>
        <w:t>. Body-piercing facilities may be permanent store-fronts or a temporary booth or exhibit. Both must meet the sanitary standards to receive a permit and conduct business.  Regular inspections are required and permits are issued for complying businesses. In addition, activities include review of injury reports, complaint investigations and re-inspections. This inspection form is available for remote devices.</w:t>
      </w:r>
    </w:p>
    <w:p w14:paraId="1FF74773" w14:textId="77777777" w:rsidR="001943E4" w:rsidRDefault="001943E4" w:rsidP="001943E4">
      <w:pPr>
        <w:ind w:left="360"/>
      </w:pPr>
    </w:p>
    <w:p w14:paraId="6C7CBC6C" w14:textId="5DD359A8" w:rsidR="001943E4" w:rsidRDefault="001943E4" w:rsidP="001943E4">
      <w:pPr>
        <w:pStyle w:val="ListParagraph"/>
        <w:numPr>
          <w:ilvl w:val="0"/>
          <w:numId w:val="4"/>
        </w:numPr>
        <w:ind w:left="360"/>
      </w:pPr>
      <w:r w:rsidRPr="001943E4">
        <w:rPr>
          <w:u w:val="single"/>
        </w:rPr>
        <w:t>Food Hygiene (FH)</w:t>
      </w:r>
      <w:r w:rsidRPr="004D4790">
        <w:rPr>
          <w:rStyle w:val="FootnoteReference"/>
          <w:u w:val="single"/>
        </w:rPr>
        <w:footnoteReference w:id="3"/>
      </w:r>
      <w:r>
        <w:t xml:space="preserve"> – Pursuant to Florida Administrative Code Rule 64E-11, this program e</w:t>
      </w:r>
      <w:r w:rsidRPr="003A2250">
        <w:t>nsure</w:t>
      </w:r>
      <w:r>
        <w:t>s</w:t>
      </w:r>
      <w:r w:rsidRPr="00AB7354">
        <w:t xml:space="preserve"> </w:t>
      </w:r>
      <w:r w:rsidRPr="003A2250">
        <w:t>that</w:t>
      </w:r>
      <w:r w:rsidRPr="00AB7354">
        <w:t xml:space="preserve"> </w:t>
      </w:r>
      <w:r w:rsidRPr="003A2250">
        <w:t>f</w:t>
      </w:r>
      <w:r w:rsidRPr="00AB7354">
        <w:t>o</w:t>
      </w:r>
      <w:r w:rsidRPr="003A2250">
        <w:t>od</w:t>
      </w:r>
      <w:r w:rsidRPr="00AB7354">
        <w:t xml:space="preserve"> </w:t>
      </w:r>
      <w:r w:rsidRPr="003A2250">
        <w:t>establis</w:t>
      </w:r>
      <w:r w:rsidRPr="00AB7354">
        <w:t>hm</w:t>
      </w:r>
      <w:r w:rsidRPr="003A2250">
        <w:t>ents regulated</w:t>
      </w:r>
      <w:r w:rsidRPr="00AB7354">
        <w:t xml:space="preserve"> </w:t>
      </w:r>
      <w:r w:rsidRPr="003A2250">
        <w:t>by</w:t>
      </w:r>
      <w:r w:rsidRPr="00AB7354">
        <w:t xml:space="preserve"> </w:t>
      </w:r>
      <w:r w:rsidRPr="003A2250">
        <w:t>the</w:t>
      </w:r>
      <w:r w:rsidRPr="00AB7354">
        <w:t xml:space="preserve"> </w:t>
      </w:r>
      <w:r w:rsidRPr="001943E4">
        <w:rPr>
          <w:rFonts w:cs="Arial"/>
        </w:rPr>
        <w:t>Department</w:t>
      </w:r>
      <w:r w:rsidRPr="00AB7354">
        <w:t xml:space="preserve"> </w:t>
      </w:r>
      <w:r w:rsidRPr="003A2250">
        <w:t>are</w:t>
      </w:r>
      <w:r w:rsidRPr="00AB7354">
        <w:t xml:space="preserve"> </w:t>
      </w:r>
      <w:r w:rsidRPr="003A2250">
        <w:t>operated</w:t>
      </w:r>
      <w:r w:rsidRPr="00AB7354">
        <w:t xml:space="preserve"> </w:t>
      </w:r>
      <w:r w:rsidRPr="003A2250">
        <w:t>in</w:t>
      </w:r>
      <w:r w:rsidRPr="00AB7354">
        <w:t xml:space="preserve"> </w:t>
      </w:r>
      <w:r w:rsidRPr="003A2250">
        <w:t>accordance</w:t>
      </w:r>
      <w:r w:rsidRPr="00AB7354">
        <w:t xml:space="preserve"> </w:t>
      </w:r>
      <w:r w:rsidRPr="003A2250">
        <w:t>with</w:t>
      </w:r>
      <w:r w:rsidRPr="00AB7354">
        <w:t xml:space="preserve"> </w:t>
      </w:r>
      <w:r w:rsidRPr="003A2250">
        <w:t>applica</w:t>
      </w:r>
      <w:r w:rsidRPr="00AB7354">
        <w:t>b</w:t>
      </w:r>
      <w:r w:rsidRPr="003A2250">
        <w:t>le</w:t>
      </w:r>
      <w:r w:rsidRPr="00AB7354">
        <w:t xml:space="preserve"> </w:t>
      </w:r>
      <w:r w:rsidRPr="003A2250">
        <w:t>regulatio</w:t>
      </w:r>
      <w:r w:rsidRPr="00AB7354">
        <w:t>n</w:t>
      </w:r>
      <w:r w:rsidRPr="003A2250">
        <w:t>s</w:t>
      </w:r>
      <w:r w:rsidRPr="00AB7354">
        <w:t xml:space="preserve"> </w:t>
      </w:r>
      <w:r w:rsidRPr="003A2250">
        <w:t>and in</w:t>
      </w:r>
      <w:r w:rsidRPr="00AB7354">
        <w:t xml:space="preserve"> </w:t>
      </w:r>
      <w:r w:rsidRPr="003A2250">
        <w:t>a</w:t>
      </w:r>
      <w:r w:rsidRPr="00AB7354">
        <w:t xml:space="preserve"> </w:t>
      </w:r>
      <w:r w:rsidRPr="003A2250">
        <w:t>safe</w:t>
      </w:r>
      <w:r w:rsidRPr="00AB7354">
        <w:t xml:space="preserve"> </w:t>
      </w:r>
      <w:r w:rsidRPr="003A2250">
        <w:t>a</w:t>
      </w:r>
      <w:r w:rsidRPr="00AB7354">
        <w:t>n</w:t>
      </w:r>
      <w:r w:rsidRPr="003A2250">
        <w:t>d</w:t>
      </w:r>
      <w:r w:rsidRPr="00AB7354">
        <w:t xml:space="preserve"> </w:t>
      </w:r>
      <w:r w:rsidRPr="003A2250">
        <w:t>sanitary</w:t>
      </w:r>
      <w:r w:rsidRPr="00AB7354">
        <w:t xml:space="preserve"> </w:t>
      </w:r>
      <w:r w:rsidRPr="003A2250">
        <w:t>manner</w:t>
      </w:r>
      <w:r w:rsidRPr="00AB7354">
        <w:t xml:space="preserve"> </w:t>
      </w:r>
      <w:r w:rsidRPr="003A2250">
        <w:t>to</w:t>
      </w:r>
      <w:r w:rsidRPr="00AB7354">
        <w:t xml:space="preserve"> </w:t>
      </w:r>
      <w:r w:rsidRPr="003A2250">
        <w:t>minimize</w:t>
      </w:r>
      <w:r w:rsidRPr="00AB7354">
        <w:t xml:space="preserve"> </w:t>
      </w:r>
      <w:r w:rsidRPr="003A2250">
        <w:t>the</w:t>
      </w:r>
      <w:r w:rsidRPr="00AB7354">
        <w:t xml:space="preserve"> </w:t>
      </w:r>
      <w:r w:rsidRPr="003A2250">
        <w:t>occurrence</w:t>
      </w:r>
      <w:r w:rsidRPr="00AB7354">
        <w:t xml:space="preserve"> </w:t>
      </w:r>
      <w:r w:rsidRPr="003A2250">
        <w:t>of</w:t>
      </w:r>
      <w:r w:rsidRPr="00AB7354">
        <w:t xml:space="preserve"> f</w:t>
      </w:r>
      <w:r w:rsidRPr="003A2250">
        <w:t>ood-related</w:t>
      </w:r>
      <w:r w:rsidRPr="00AB7354">
        <w:t xml:space="preserve"> </w:t>
      </w:r>
      <w:r w:rsidRPr="003A2250">
        <w:t>illness.</w:t>
      </w:r>
      <w:r>
        <w:t xml:space="preserve"> Assures that food does not contain any added poisonous or added deleterious substances, is not part of a diseased, contaminated, or decomposed substance and that food has been produced, prepared, packed and held under sanitary conditions. This program covers institutional food services such as those provided by adult care facilities, jails, prisons and detention centers, mental health facilities, hospitals, civic and fraternal organizations, movie theaters, bars and lounges, domestic violence centers, schools, colleges, and universities. It also covers temporary events, mobile food units, and vending machines. It also includes limited food service for </w:t>
      </w:r>
      <w:r>
        <w:lastRenderedPageBreak/>
        <w:t>commercial establishments such as movie theaters and bars. This program does not inspect or regulate commercial food restaurants. CHD inspectors perform regular inspections and issue licenses for entities meeting the sanitary standards.</w:t>
      </w:r>
    </w:p>
    <w:p w14:paraId="08557D8A" w14:textId="77777777" w:rsidR="001943E4" w:rsidRDefault="001943E4" w:rsidP="001943E4">
      <w:pPr>
        <w:ind w:left="360"/>
      </w:pPr>
    </w:p>
    <w:p w14:paraId="52BDC5D0" w14:textId="77777777" w:rsidR="001943E4" w:rsidRDefault="001943E4" w:rsidP="001943E4">
      <w:pPr>
        <w:ind w:left="360"/>
      </w:pPr>
      <w:r>
        <w:t>Regular inspections ensure that establishments are properly designed, built, equipped and maintained. Inspectors ensure they use a safe water supply and wastewater disposal system, approved food sources, and the maintenance of safe food temperatures. Inspections are used to educate establishment management and staff.  In addition to inspections, CHDs conduct thorough plan reviews for new construction or remodeling, conduct and assist in epidemiological investigations of suspected food-related illnesses and compliance with the Food Safety and Sanitation Program.</w:t>
      </w:r>
    </w:p>
    <w:p w14:paraId="555A9C9F" w14:textId="77777777" w:rsidR="001943E4" w:rsidRDefault="001943E4" w:rsidP="001943E4">
      <w:pPr>
        <w:ind w:left="360"/>
      </w:pPr>
    </w:p>
    <w:p w14:paraId="1037545C" w14:textId="036AD175" w:rsidR="001943E4" w:rsidRDefault="001943E4" w:rsidP="001943E4">
      <w:pPr>
        <w:pStyle w:val="ListParagraph"/>
        <w:numPr>
          <w:ilvl w:val="0"/>
          <w:numId w:val="4"/>
        </w:numPr>
        <w:ind w:left="360"/>
      </w:pPr>
      <w:r w:rsidRPr="001943E4">
        <w:rPr>
          <w:u w:val="single"/>
        </w:rPr>
        <w:t>Group Care (GC)</w:t>
      </w:r>
      <w:r w:rsidRPr="00111E3D">
        <w:t xml:space="preserve">– </w:t>
      </w:r>
      <w:r>
        <w:t>Pursuant to Florida Administrative Code Rule 64E-12, this program e</w:t>
      </w:r>
      <w:r w:rsidRPr="001943E4">
        <w:rPr>
          <w:rFonts w:cs="Arial"/>
        </w:rPr>
        <w:t>nsures</w:t>
      </w:r>
      <w:r w:rsidRPr="001943E4">
        <w:rPr>
          <w:rFonts w:cs="Arial"/>
          <w:spacing w:val="-7"/>
        </w:rPr>
        <w:t xml:space="preserve"> </w:t>
      </w:r>
      <w:r w:rsidRPr="001943E4">
        <w:rPr>
          <w:rFonts w:cs="Arial"/>
        </w:rPr>
        <w:t>compliance</w:t>
      </w:r>
      <w:r w:rsidRPr="001943E4">
        <w:rPr>
          <w:rFonts w:cs="Arial"/>
          <w:spacing w:val="-11"/>
        </w:rPr>
        <w:t xml:space="preserve"> </w:t>
      </w:r>
      <w:r w:rsidRPr="001943E4">
        <w:rPr>
          <w:rFonts w:cs="Arial"/>
        </w:rPr>
        <w:t>with</w:t>
      </w:r>
      <w:r w:rsidRPr="001943E4">
        <w:rPr>
          <w:rFonts w:cs="Arial"/>
          <w:spacing w:val="-4"/>
        </w:rPr>
        <w:t xml:space="preserve"> </w:t>
      </w:r>
      <w:r w:rsidRPr="001943E4">
        <w:rPr>
          <w:rFonts w:cs="Arial"/>
        </w:rPr>
        <w:t>applicable</w:t>
      </w:r>
      <w:r w:rsidRPr="001943E4">
        <w:rPr>
          <w:rFonts w:cs="Arial"/>
          <w:spacing w:val="-10"/>
        </w:rPr>
        <w:t xml:space="preserve"> </w:t>
      </w:r>
      <w:r w:rsidRPr="001943E4">
        <w:rPr>
          <w:rFonts w:cs="Arial"/>
        </w:rPr>
        <w:t>environmental health</w:t>
      </w:r>
      <w:r w:rsidRPr="001943E4">
        <w:rPr>
          <w:rFonts w:cs="Arial"/>
          <w:spacing w:val="-6"/>
        </w:rPr>
        <w:t xml:space="preserve"> </w:t>
      </w:r>
      <w:r w:rsidRPr="001943E4">
        <w:rPr>
          <w:rFonts w:cs="Arial"/>
        </w:rPr>
        <w:t>laws</w:t>
      </w:r>
      <w:r w:rsidRPr="001943E4">
        <w:rPr>
          <w:rFonts w:cs="Arial"/>
          <w:spacing w:val="-5"/>
        </w:rPr>
        <w:t xml:space="preserve"> </w:t>
      </w:r>
      <w:r w:rsidRPr="001943E4">
        <w:rPr>
          <w:rFonts w:cs="Arial"/>
        </w:rPr>
        <w:t>and</w:t>
      </w:r>
      <w:r w:rsidRPr="001943E4">
        <w:rPr>
          <w:rFonts w:cs="Arial"/>
          <w:spacing w:val="-4"/>
        </w:rPr>
        <w:t xml:space="preserve"> </w:t>
      </w:r>
      <w:r w:rsidRPr="001943E4">
        <w:rPr>
          <w:rFonts w:cs="Arial"/>
        </w:rPr>
        <w:t>rules</w:t>
      </w:r>
      <w:r w:rsidRPr="001943E4">
        <w:rPr>
          <w:rFonts w:cs="Arial"/>
          <w:spacing w:val="-5"/>
        </w:rPr>
        <w:t xml:space="preserve"> </w:t>
      </w:r>
      <w:r w:rsidRPr="001943E4">
        <w:rPr>
          <w:rFonts w:cs="Arial"/>
        </w:rPr>
        <w:t>by</w:t>
      </w:r>
      <w:r w:rsidRPr="001943E4">
        <w:rPr>
          <w:rFonts w:cs="Arial"/>
          <w:spacing w:val="-2"/>
        </w:rPr>
        <w:t xml:space="preserve"> </w:t>
      </w:r>
      <w:r w:rsidRPr="001943E4">
        <w:rPr>
          <w:rFonts w:cs="Arial"/>
        </w:rPr>
        <w:t>conducting</w:t>
      </w:r>
      <w:r w:rsidRPr="001943E4">
        <w:rPr>
          <w:rFonts w:cs="Arial"/>
          <w:spacing w:val="-12"/>
        </w:rPr>
        <w:t xml:space="preserve"> </w:t>
      </w:r>
      <w:r w:rsidRPr="001943E4">
        <w:rPr>
          <w:rFonts w:cs="Arial"/>
        </w:rPr>
        <w:t>inspectio</w:t>
      </w:r>
      <w:r w:rsidRPr="001943E4">
        <w:rPr>
          <w:rFonts w:cs="Arial"/>
          <w:spacing w:val="-1"/>
        </w:rPr>
        <w:t>n</w:t>
      </w:r>
      <w:r w:rsidRPr="001943E4">
        <w:rPr>
          <w:rFonts w:cs="Arial"/>
        </w:rPr>
        <w:t>s,</w:t>
      </w:r>
      <w:r w:rsidRPr="001943E4">
        <w:rPr>
          <w:rFonts w:cs="Arial"/>
          <w:spacing w:val="-13"/>
        </w:rPr>
        <w:t xml:space="preserve"> </w:t>
      </w:r>
      <w:r w:rsidRPr="001943E4">
        <w:rPr>
          <w:rFonts w:cs="Arial"/>
        </w:rPr>
        <w:t>providing</w:t>
      </w:r>
      <w:r w:rsidRPr="001943E4">
        <w:rPr>
          <w:rFonts w:cs="Arial"/>
          <w:spacing w:val="-9"/>
        </w:rPr>
        <w:t xml:space="preserve"> </w:t>
      </w:r>
      <w:r w:rsidRPr="001943E4">
        <w:rPr>
          <w:rFonts w:cs="Arial"/>
        </w:rPr>
        <w:t>public</w:t>
      </w:r>
      <w:r w:rsidRPr="001943E4">
        <w:rPr>
          <w:rFonts w:cs="Arial"/>
          <w:spacing w:val="-6"/>
        </w:rPr>
        <w:t xml:space="preserve"> </w:t>
      </w:r>
      <w:r w:rsidRPr="001943E4">
        <w:rPr>
          <w:rFonts w:cs="Arial"/>
        </w:rPr>
        <w:t>educ</w:t>
      </w:r>
      <w:r w:rsidRPr="001943E4">
        <w:rPr>
          <w:rFonts w:cs="Arial"/>
          <w:spacing w:val="-1"/>
        </w:rPr>
        <w:t>a</w:t>
      </w:r>
      <w:r w:rsidRPr="001943E4">
        <w:rPr>
          <w:rFonts w:cs="Arial"/>
        </w:rPr>
        <w:t>ti</w:t>
      </w:r>
      <w:r w:rsidRPr="001943E4">
        <w:rPr>
          <w:rFonts w:cs="Arial"/>
          <w:spacing w:val="-1"/>
        </w:rPr>
        <w:t>o</w:t>
      </w:r>
      <w:r w:rsidRPr="001943E4">
        <w:rPr>
          <w:rFonts w:cs="Arial"/>
        </w:rPr>
        <w:t>n, performing</w:t>
      </w:r>
      <w:r w:rsidRPr="001943E4">
        <w:rPr>
          <w:rFonts w:cs="Arial"/>
          <w:spacing w:val="-11"/>
        </w:rPr>
        <w:t xml:space="preserve"> </w:t>
      </w:r>
      <w:r w:rsidRPr="001943E4">
        <w:rPr>
          <w:rFonts w:cs="Arial"/>
        </w:rPr>
        <w:t>epidemiological</w:t>
      </w:r>
      <w:r w:rsidRPr="001943E4">
        <w:rPr>
          <w:rFonts w:cs="Arial"/>
          <w:spacing w:val="-15"/>
        </w:rPr>
        <w:t xml:space="preserve"> </w:t>
      </w:r>
      <w:r w:rsidRPr="001943E4">
        <w:rPr>
          <w:rFonts w:cs="Arial"/>
        </w:rPr>
        <w:t>investi</w:t>
      </w:r>
      <w:r w:rsidRPr="001943E4">
        <w:rPr>
          <w:rFonts w:cs="Arial"/>
          <w:spacing w:val="-1"/>
        </w:rPr>
        <w:t>g</w:t>
      </w:r>
      <w:r w:rsidRPr="001943E4">
        <w:rPr>
          <w:rFonts w:cs="Arial"/>
        </w:rPr>
        <w:t>ations</w:t>
      </w:r>
      <w:r w:rsidRPr="001943E4">
        <w:rPr>
          <w:rFonts w:cs="Arial"/>
          <w:spacing w:val="-13"/>
        </w:rPr>
        <w:t xml:space="preserve"> </w:t>
      </w:r>
      <w:r w:rsidRPr="001943E4">
        <w:rPr>
          <w:rFonts w:cs="Arial"/>
        </w:rPr>
        <w:t>and</w:t>
      </w:r>
      <w:r w:rsidRPr="001943E4">
        <w:rPr>
          <w:rFonts w:cs="Arial"/>
          <w:spacing w:val="-4"/>
        </w:rPr>
        <w:t xml:space="preserve"> </w:t>
      </w:r>
      <w:r w:rsidRPr="001943E4">
        <w:rPr>
          <w:rFonts w:cs="Arial"/>
        </w:rPr>
        <w:t>complaint</w:t>
      </w:r>
      <w:r w:rsidRPr="001943E4">
        <w:rPr>
          <w:rFonts w:cs="Arial"/>
          <w:spacing w:val="-9"/>
        </w:rPr>
        <w:t xml:space="preserve"> </w:t>
      </w:r>
      <w:r w:rsidRPr="001943E4">
        <w:rPr>
          <w:rFonts w:cs="Arial"/>
        </w:rPr>
        <w:t>investigatio</w:t>
      </w:r>
      <w:r w:rsidRPr="001943E4">
        <w:rPr>
          <w:rFonts w:cs="Arial"/>
          <w:spacing w:val="-1"/>
        </w:rPr>
        <w:t>n</w:t>
      </w:r>
      <w:r w:rsidRPr="001943E4">
        <w:rPr>
          <w:rFonts w:cs="Arial"/>
        </w:rPr>
        <w:t>s</w:t>
      </w:r>
      <w:r w:rsidRPr="001943E4">
        <w:rPr>
          <w:rFonts w:cs="Arial"/>
          <w:spacing w:val="-12"/>
        </w:rPr>
        <w:t xml:space="preserve"> </w:t>
      </w:r>
      <w:r w:rsidRPr="001943E4">
        <w:rPr>
          <w:rFonts w:cs="Arial"/>
        </w:rPr>
        <w:t>in</w:t>
      </w:r>
      <w:r w:rsidRPr="001943E4">
        <w:rPr>
          <w:rFonts w:cs="Arial"/>
          <w:spacing w:val="-2"/>
        </w:rPr>
        <w:t xml:space="preserve"> </w:t>
      </w:r>
      <w:r w:rsidRPr="001943E4">
        <w:rPr>
          <w:rFonts w:cs="Arial"/>
        </w:rPr>
        <w:t>the program</w:t>
      </w:r>
      <w:r w:rsidRPr="001943E4">
        <w:rPr>
          <w:rFonts w:cs="Arial"/>
          <w:spacing w:val="-8"/>
        </w:rPr>
        <w:t xml:space="preserve"> </w:t>
      </w:r>
      <w:r w:rsidRPr="001943E4">
        <w:rPr>
          <w:rFonts w:cs="Arial"/>
        </w:rPr>
        <w:t>ar</w:t>
      </w:r>
      <w:r w:rsidRPr="001943E4">
        <w:rPr>
          <w:rFonts w:cs="Arial"/>
          <w:spacing w:val="1"/>
        </w:rPr>
        <w:t>e</w:t>
      </w:r>
      <w:r w:rsidRPr="001943E4">
        <w:rPr>
          <w:rFonts w:cs="Arial"/>
        </w:rPr>
        <w:t xml:space="preserve">as. </w:t>
      </w:r>
      <w:r>
        <w:t>Prescribes sanitary practices relating to the construction, operation and maintenance of community-based residential as well as public and private schools. The program does not permit or license many of the entities they inspect. It provides inspections and supplies inspection results to the state agency that does produce the licensing.  For example, foster homes and child caring agencies are inspected at the request of the Department of Children and Families (DCF) and results are sent to DCF. Permits are not typically issued for group care facilities. This inspection form is available for remote devices.</w:t>
      </w:r>
    </w:p>
    <w:p w14:paraId="35AC03AC" w14:textId="77777777" w:rsidR="001943E4" w:rsidRDefault="001943E4" w:rsidP="001943E4">
      <w:pPr>
        <w:ind w:left="360"/>
      </w:pPr>
    </w:p>
    <w:p w14:paraId="2315A472" w14:textId="353ABFC1" w:rsidR="001943E4" w:rsidRDefault="001943E4" w:rsidP="001943E4">
      <w:pPr>
        <w:pStyle w:val="ListParagraph"/>
        <w:numPr>
          <w:ilvl w:val="0"/>
          <w:numId w:val="4"/>
        </w:numPr>
        <w:ind w:left="360"/>
      </w:pPr>
      <w:r w:rsidRPr="001943E4">
        <w:rPr>
          <w:u w:val="single"/>
        </w:rPr>
        <w:t>Limited Use Water (LUW)</w:t>
      </w:r>
      <w:r>
        <w:t xml:space="preserve"> – Pursuant to Florida Administrative Code Rule 64E-8, this program refers to private, multifamily, and limited use public water systems (LUPWS) that make water available to the public. LUPWS serve a limited number of residences or a business that operates for a limited number of days or provides no water consumption to a transient population. This program sets standards for well construction, conducts sanitary surveys, plan reviews, evaluates water treatment and distribution systems, collects and evaluates water samples and investigates waterborne disease outbreaks.  Samples are sent to the state laboratory for analysis with results shared with the Department of Environmental Protection. It performs regular inspections and invoices annually. The program permits well construction, repair and abandonment. An official letter of clearance is issued when all sample analysis warrants. Permits are issued for all wells to assure each well has a tracking number that is not changed when ownership of the property changes. Inspections are conducted once a year. This inspection form is available for remote devices.</w:t>
      </w:r>
    </w:p>
    <w:p w14:paraId="10525D6B" w14:textId="77777777" w:rsidR="001943E4" w:rsidRDefault="001943E4" w:rsidP="001943E4">
      <w:pPr>
        <w:ind w:left="360"/>
      </w:pPr>
    </w:p>
    <w:p w14:paraId="42D68798" w14:textId="18E4B84B" w:rsidR="001943E4" w:rsidRDefault="001943E4" w:rsidP="001943E4">
      <w:pPr>
        <w:pStyle w:val="ListParagraph"/>
        <w:numPr>
          <w:ilvl w:val="0"/>
          <w:numId w:val="4"/>
        </w:numPr>
        <w:ind w:left="360"/>
      </w:pPr>
      <w:r w:rsidRPr="001943E4">
        <w:rPr>
          <w:u w:val="single"/>
        </w:rPr>
        <w:t>Migrant Farmworker Housing (MFH)</w:t>
      </w:r>
      <w:r>
        <w:t xml:space="preserve"> – Pursuant to Florida Administrative Code Rule 64E-14, this program was called “Migrant Labor Camps” until recently. </w:t>
      </w:r>
      <w:r w:rsidRPr="001943E4">
        <w:rPr>
          <w:rFonts w:cs="Helvetica"/>
          <w:color w:val="555555"/>
        </w:rPr>
        <w:t>The objective of this program is to reduce the risk of communicable disease transmission and injury among migrant farm workers by establishing comprehensive and uniform procedures for permitting and inspecting migrant housing</w:t>
      </w:r>
      <w:r w:rsidRPr="001943E4">
        <w:rPr>
          <w:rFonts w:ascii="Open Sans" w:hAnsi="Open Sans" w:cs="Helvetica"/>
          <w:color w:val="555555"/>
        </w:rPr>
        <w:t>.</w:t>
      </w:r>
      <w:r>
        <w:t xml:space="preserve"> DOH staff perform plan reviews, permitting, regularly scheduled inspections, investigations, education, and assure application of state laws and rules. Permits are issued and owners are invoiced annually. This inspection form is available for remote devices.</w:t>
      </w:r>
    </w:p>
    <w:p w14:paraId="3B1CB520" w14:textId="77777777" w:rsidR="001943E4" w:rsidRDefault="001943E4" w:rsidP="001943E4">
      <w:pPr>
        <w:ind w:left="360"/>
      </w:pPr>
    </w:p>
    <w:p w14:paraId="575D5D79" w14:textId="77777777" w:rsidR="001943E4" w:rsidRDefault="001943E4" w:rsidP="001943E4">
      <w:pPr>
        <w:pStyle w:val="ListParagraph"/>
        <w:numPr>
          <w:ilvl w:val="0"/>
          <w:numId w:val="4"/>
        </w:numPr>
        <w:ind w:left="360"/>
      </w:pPr>
      <w:r w:rsidRPr="001943E4">
        <w:rPr>
          <w:u w:val="single"/>
        </w:rPr>
        <w:lastRenderedPageBreak/>
        <w:t>Miscellaneous Programs</w:t>
      </w:r>
      <w:r>
        <w:t xml:space="preserve"> – This program area tracks the entities, inspections and financial transaction for programs contracted with a county government and that is not supported statewide. Each county may require different inspections and fees for a program so each must be customized to the individual counties that support that program. The types of entities in this area vary by county as well. Inspection forms have not been added to the remote application.</w:t>
      </w:r>
    </w:p>
    <w:p w14:paraId="33D7C46C" w14:textId="77777777" w:rsidR="001943E4" w:rsidRDefault="001943E4" w:rsidP="001943E4">
      <w:pPr>
        <w:ind w:left="360"/>
      </w:pPr>
    </w:p>
    <w:p w14:paraId="7797386D" w14:textId="4E0B4863" w:rsidR="001943E4" w:rsidRDefault="001943E4" w:rsidP="001943E4">
      <w:pPr>
        <w:pStyle w:val="ListParagraph"/>
        <w:numPr>
          <w:ilvl w:val="0"/>
          <w:numId w:val="4"/>
        </w:numPr>
        <w:ind w:left="360"/>
      </w:pPr>
      <w:r w:rsidRPr="001943E4">
        <w:rPr>
          <w:u w:val="single"/>
        </w:rPr>
        <w:t xml:space="preserve">Mobile Home Parks (MHP) </w:t>
      </w:r>
      <w:r>
        <w:t>– Pursuant to Florida Administrative Code Rule 64E-15, this program operates with mobile home, recreational vehicle, lodging parks, and recreational camps. Issues covered by this program include water supply, sewage disposal, sanitary facilities, plumbing, garbage and refuse disposal, and insect and rodent controls. The program protects the public from the hazard of untreated sewage and the likelihood of disease transmission from unapproved water sources. Other actions include construction plan reviews, visiting construction sites, taking water samples, and educating park and camp operators and the public on the reason for the program standards. Water sample results are maintained within EHD. Permits are issued annually. Inspections and construction plans are maintained within EHD. This inspection form is available for remote devices.</w:t>
      </w:r>
    </w:p>
    <w:p w14:paraId="7F5C9B97" w14:textId="77777777" w:rsidR="001943E4" w:rsidRDefault="001943E4" w:rsidP="001943E4">
      <w:pPr>
        <w:ind w:left="360"/>
      </w:pPr>
    </w:p>
    <w:p w14:paraId="1EC9E293" w14:textId="06419CFD" w:rsidR="001943E4" w:rsidRDefault="001943E4" w:rsidP="001943E4">
      <w:pPr>
        <w:pStyle w:val="ListParagraph"/>
        <w:numPr>
          <w:ilvl w:val="0"/>
          <w:numId w:val="4"/>
        </w:numPr>
        <w:ind w:left="360"/>
      </w:pPr>
      <w:r w:rsidRPr="001943E4">
        <w:rPr>
          <w:u w:val="single"/>
        </w:rPr>
        <w:t>Nuisance Complaint Investigations</w:t>
      </w:r>
      <w:r>
        <w:t xml:space="preserve"> – Pursuant to Florida Statute 386, it is the duty of the Florida Department of Health to investigate and, working with the appropriate parties, remove or abate any action or existing issue that may cause, directly or indirectly, disease or injury to the health or life of individuals. Inspectors record reported issues and the circumstances found during the investigation. The system creates many letters and legal notices to be delivered to the person or company responsible for the issue defining legal definitions, required remediation and timeframes. Inspectors track the communications with the responsible parties which the system maintains as historical record. Nuisance complaints may or may not be connected to a permitted entity but must be maintained by the system from first report to removal or abatement of the nuisance conditions.  The nuisance complaint form needs to be added to the remote application.</w:t>
      </w:r>
    </w:p>
    <w:p w14:paraId="4205D87A" w14:textId="77777777" w:rsidR="001943E4" w:rsidRDefault="001943E4" w:rsidP="001943E4">
      <w:pPr>
        <w:ind w:left="360"/>
      </w:pPr>
    </w:p>
    <w:p w14:paraId="754E8733" w14:textId="57466B37" w:rsidR="001943E4" w:rsidRDefault="001943E4" w:rsidP="001943E4">
      <w:pPr>
        <w:pStyle w:val="ListParagraph"/>
        <w:numPr>
          <w:ilvl w:val="0"/>
          <w:numId w:val="4"/>
        </w:numPr>
        <w:ind w:left="360"/>
      </w:pPr>
      <w:r w:rsidRPr="001943E4">
        <w:rPr>
          <w:u w:val="single"/>
        </w:rPr>
        <w:t>Onsite Sewage Treatment and Disposal Systems (OSTDS)</w:t>
      </w:r>
      <w:r>
        <w:t xml:space="preserve"> – Pursuant to Florida Administrative Code Rule 64E-16, this program monitors three separate areas with different standards, inspection frequencies and sampling requirements. Program activities include licensing of septic tank contractors and businesses, approval of treatment receptacle designs, evaluation of aerobic treatment units, approval of innovative products, approval of alternative drainfield products and additives, reviewing construction permit applications for performance-based treatment systems, conducting onsite sewage system research, providing training and technical support, and conducting county health department programmatic evaluations.</w:t>
      </w:r>
    </w:p>
    <w:p w14:paraId="60A5A949" w14:textId="77777777" w:rsidR="001943E4" w:rsidRDefault="001943E4" w:rsidP="001943E4">
      <w:pPr>
        <w:ind w:left="360"/>
      </w:pPr>
    </w:p>
    <w:p w14:paraId="4E5C35CD" w14:textId="77777777" w:rsidR="001943E4" w:rsidRDefault="001943E4" w:rsidP="00024CC2">
      <w:pPr>
        <w:pStyle w:val="ListParagraph"/>
        <w:numPr>
          <w:ilvl w:val="0"/>
          <w:numId w:val="5"/>
        </w:numPr>
      </w:pPr>
      <w:r>
        <w:t xml:space="preserve">The </w:t>
      </w:r>
      <w:r w:rsidRPr="001943E4">
        <w:rPr>
          <w:b/>
        </w:rPr>
        <w:t>construction</w:t>
      </w:r>
      <w:r>
        <w:t xml:space="preserve"> component governs the planning, building, repairs, maintenance, and modifications for septic tanks and drain fields. Inspectors visit the sites as needed to review plans, evaluate the site, approve building materials, and inspect completed systems. The program conducts complaint investigations, sanitary surveys, and enforcement actions as needed. Owners or contractors wishing to build a new system or modify an existing system apply using the appropriate application form along with a site plan and receive permission before proceeding. Permits are issued for construction and for final authorization. Invoices are created as needed </w:t>
      </w:r>
      <w:r>
        <w:lastRenderedPageBreak/>
        <w:t xml:space="preserve">throughout the process and there is no annual billing. When a location switches from septic tank to sanitary sewers, an inspection may be performed with laboratory sampling to confirm the abandonment. All abandoned systems are reported to the Department and tracked for future planning. </w:t>
      </w:r>
    </w:p>
    <w:p w14:paraId="4288E2F9" w14:textId="77777777" w:rsidR="001943E4" w:rsidRDefault="001943E4" w:rsidP="00024CC2">
      <w:pPr>
        <w:ind w:left="1080"/>
      </w:pPr>
    </w:p>
    <w:p w14:paraId="18783AB5" w14:textId="77777777" w:rsidR="001943E4" w:rsidRDefault="001943E4" w:rsidP="00024CC2">
      <w:pPr>
        <w:pStyle w:val="ListParagraph"/>
        <w:numPr>
          <w:ilvl w:val="0"/>
          <w:numId w:val="5"/>
        </w:numPr>
      </w:pPr>
      <w:r>
        <w:t xml:space="preserve">The </w:t>
      </w:r>
      <w:r w:rsidRPr="001943E4">
        <w:rPr>
          <w:b/>
        </w:rPr>
        <w:t>operating</w:t>
      </w:r>
      <w:r>
        <w:t xml:space="preserve"> component of OSTDS performs regular inspections on working systems to assure they are meeting operating standards. Inspections are planned, invoices are produced annually, and permits are issued for systems that meet the standards. These inspections require submission of bacteriological and chemical samples to the state labs. EHD maintains a history of these sample results. Operating systems are used in commercial settings where multiple businesses send waste to the same septic system. In these situations, each business accessing the tank must submit an annual survey documenting number of users, business type, and other information that allows the inspector to confirm the system is operating within its limits. Operating systems are required to contract with a service provider to maintain aerobic treatment units (ATUs) and performance-based systems (PBs) to assure these systems are working at their maximum efficiency. Permits are issued for the operating systems.</w:t>
      </w:r>
    </w:p>
    <w:p w14:paraId="5770F9D5" w14:textId="77777777" w:rsidR="001943E4" w:rsidRDefault="001943E4" w:rsidP="00024CC2">
      <w:pPr>
        <w:ind w:left="1080"/>
      </w:pPr>
    </w:p>
    <w:p w14:paraId="242D568B" w14:textId="77777777" w:rsidR="001943E4" w:rsidRDefault="001943E4" w:rsidP="00024CC2">
      <w:pPr>
        <w:pStyle w:val="ListParagraph"/>
        <w:numPr>
          <w:ilvl w:val="0"/>
          <w:numId w:val="5"/>
        </w:numPr>
      </w:pPr>
      <w:r>
        <w:t xml:space="preserve">The </w:t>
      </w:r>
      <w:r w:rsidRPr="001943E4">
        <w:rPr>
          <w:b/>
        </w:rPr>
        <w:t>service</w:t>
      </w:r>
      <w:r>
        <w:t xml:space="preserve"> component of OSTDS tracks and maintains service providers who clean and repair septic systems, build and install septic tanks, or provide temporary waste collection and disposal. Any business resource that is used storing, transporting or disposing of waste is tracked within EHD. These range from temporary privies to septic tanks to tank trucks to incinerators and landfills. All services must be provided by currently licensed contractors who are listed within EHD. Inspectors assure the resources are functional and appropriate for the work being performed. Maintenance entities that provide services to ATU and PB systems must report inspections and work performed on these systems to the county health departments on a quarterly basis through a public portal. Inspections performed by CHD inspectors are maintained within EHD. </w:t>
      </w:r>
    </w:p>
    <w:p w14:paraId="7A5DD721" w14:textId="77777777" w:rsidR="001943E4" w:rsidRDefault="001943E4" w:rsidP="001943E4">
      <w:pPr>
        <w:ind w:left="360"/>
      </w:pPr>
    </w:p>
    <w:p w14:paraId="7D12F583" w14:textId="198F449C" w:rsidR="001943E4" w:rsidRDefault="001943E4" w:rsidP="001943E4">
      <w:pPr>
        <w:pStyle w:val="ListParagraph"/>
        <w:numPr>
          <w:ilvl w:val="0"/>
          <w:numId w:val="4"/>
        </w:numPr>
        <w:ind w:left="360"/>
      </w:pPr>
      <w:r w:rsidRPr="001943E4">
        <w:rPr>
          <w:u w:val="single"/>
        </w:rPr>
        <w:t>Rabies</w:t>
      </w:r>
      <w:r>
        <w:t xml:space="preserve"> – </w:t>
      </w:r>
      <w:r w:rsidR="00024CC2">
        <w:t xml:space="preserve">Pursuant to Florida Administrative Code Rule 64d-3.  </w:t>
      </w:r>
      <w:r>
        <w:t>CHDs collect human exposure and animal surveillance data by conducting investigations into animal bite incidents. The data is shared with relevant organizations to determine if any occurrence of rabies is naturally occurring or a possible bioterrorist event. Data collected in the investigations and actions taken to notify affected people, witnesses and agencies is managed within EHD.</w:t>
      </w:r>
    </w:p>
    <w:p w14:paraId="5B618B6A" w14:textId="77777777" w:rsidR="001943E4" w:rsidRDefault="001943E4" w:rsidP="001943E4">
      <w:pPr>
        <w:ind w:left="360"/>
      </w:pPr>
    </w:p>
    <w:p w14:paraId="482E3FD8" w14:textId="47F4B45D" w:rsidR="001943E4" w:rsidRDefault="001943E4" w:rsidP="001943E4">
      <w:pPr>
        <w:pStyle w:val="ListParagraph"/>
        <w:numPr>
          <w:ilvl w:val="0"/>
          <w:numId w:val="4"/>
        </w:numPr>
        <w:ind w:left="360"/>
      </w:pPr>
      <w:r w:rsidRPr="001943E4">
        <w:rPr>
          <w:u w:val="single"/>
        </w:rPr>
        <w:t>Swimming Pools</w:t>
      </w:r>
      <w:r>
        <w:t xml:space="preserve"> – </w:t>
      </w:r>
      <w:r w:rsidR="00024CC2">
        <w:t>Pursuant to Florida Administrative Code Rule 64E-9, t</w:t>
      </w:r>
      <w:r>
        <w:t>his program approves and inspects public pools (any pool that is not defined as private), public bathing places, spas and recreational water attractions to assure none are at risk of providing a health nuisance.  Inspections verify water quality, use of chemicals, cleanliness, pool circulation systems, and water levels meet the established standards for operation. The program charts violations, investigates complaints and initiates enforcement actions when necessary. Laboratory samples are taken with results recorded in EHD. Variances and exemptions are both noted within the system. This inspection form is available for remote devices.</w:t>
      </w:r>
    </w:p>
    <w:p w14:paraId="31540F3F" w14:textId="77777777" w:rsidR="001943E4" w:rsidRDefault="001943E4" w:rsidP="001943E4">
      <w:pPr>
        <w:ind w:left="360"/>
      </w:pPr>
    </w:p>
    <w:p w14:paraId="00D9AC32" w14:textId="1E9894F5" w:rsidR="001943E4" w:rsidRDefault="001943E4" w:rsidP="001943E4">
      <w:pPr>
        <w:pStyle w:val="ListParagraph"/>
        <w:numPr>
          <w:ilvl w:val="0"/>
          <w:numId w:val="4"/>
        </w:numPr>
        <w:ind w:left="360"/>
      </w:pPr>
      <w:r w:rsidRPr="001943E4">
        <w:rPr>
          <w:u w:val="single"/>
        </w:rPr>
        <w:lastRenderedPageBreak/>
        <w:t>Tanning</w:t>
      </w:r>
      <w:r>
        <w:t xml:space="preserve"> – </w:t>
      </w:r>
      <w:r w:rsidR="00024CC2">
        <w:t xml:space="preserve">Pursuant to Florida Administrative Code Rule 64E-17.  </w:t>
      </w:r>
      <w:r>
        <w:t>CHDs monitor and inspect tanning facilities to assure they have the proper equipment, trained staff, and layouts to provide non-hazardous facilities. They provide review of facility plans, disseminate warnings about equipment issues, assure staff is properly trained, inspect facilities to assure sanitary conditions are maintained, and engage in enforcement when necessary. A license is issued for facilities meeting the sanitary, training, and insurance requirements. This license may be renewed each September 30</w:t>
      </w:r>
      <w:r w:rsidRPr="001943E4">
        <w:rPr>
          <w:vertAlign w:val="superscript"/>
        </w:rPr>
        <w:t>th</w:t>
      </w:r>
      <w:r>
        <w:t xml:space="preserve"> if the facility meets all requirements and submits the proper fees. This inspection form is available for remote devices.</w:t>
      </w:r>
    </w:p>
    <w:p w14:paraId="39AFB881" w14:textId="77777777" w:rsidR="001943E4" w:rsidRDefault="001943E4" w:rsidP="001943E4">
      <w:pPr>
        <w:ind w:left="360"/>
      </w:pPr>
    </w:p>
    <w:p w14:paraId="25460B80" w14:textId="16250332" w:rsidR="001943E4" w:rsidRDefault="001943E4" w:rsidP="001943E4">
      <w:pPr>
        <w:pStyle w:val="ListParagraph"/>
        <w:numPr>
          <w:ilvl w:val="0"/>
          <w:numId w:val="4"/>
        </w:numPr>
        <w:ind w:left="360"/>
      </w:pPr>
      <w:r w:rsidRPr="001943E4">
        <w:rPr>
          <w:u w:val="single"/>
        </w:rPr>
        <w:t>Tattooing</w:t>
      </w:r>
      <w:r>
        <w:t xml:space="preserve"> – </w:t>
      </w:r>
      <w:r w:rsidR="00024CC2">
        <w:t>Pursuant to Florida Administrative Code Rule 64E-28, t</w:t>
      </w:r>
      <w:r>
        <w:t xml:space="preserve">his program covers both tattooing artists and tattooing facilities. </w:t>
      </w:r>
    </w:p>
    <w:p w14:paraId="0B33FC41" w14:textId="77777777" w:rsidR="001943E4" w:rsidRDefault="001943E4" w:rsidP="001943E4">
      <w:pPr>
        <w:ind w:left="360"/>
      </w:pPr>
    </w:p>
    <w:p w14:paraId="6460F96A" w14:textId="77777777" w:rsidR="001943E4" w:rsidRDefault="001943E4" w:rsidP="00024CC2">
      <w:pPr>
        <w:pStyle w:val="ListParagraph"/>
        <w:numPr>
          <w:ilvl w:val="0"/>
          <w:numId w:val="6"/>
        </w:numPr>
      </w:pPr>
      <w:r w:rsidRPr="001943E4">
        <w:rPr>
          <w:b/>
        </w:rPr>
        <w:t>Tattoo Artist</w:t>
      </w:r>
      <w:r>
        <w:t xml:space="preserve"> – Licenses are issued to Florida residents who apply to the department along with valid identification, a certificate of required training and the appropriate fees.  The license is valid for the entire state for one year from the date of issue. A Guest Artist license, which is valid for only 14 days from issue, may be granted to individuals who are not regularly employed in a tattooing establishment but wish to participate in a scheduled event. Artists are invoiced once a year, 30 days prior to their license anniversary date.  There are no inspection requirements for tattoo artists. </w:t>
      </w:r>
    </w:p>
    <w:p w14:paraId="774D535C" w14:textId="77777777" w:rsidR="001943E4" w:rsidRDefault="001943E4" w:rsidP="00024CC2">
      <w:pPr>
        <w:ind w:left="1080"/>
      </w:pPr>
    </w:p>
    <w:p w14:paraId="6C83FA4A" w14:textId="77777777" w:rsidR="001943E4" w:rsidRDefault="001943E4" w:rsidP="00024CC2">
      <w:pPr>
        <w:pStyle w:val="ListParagraph"/>
        <w:numPr>
          <w:ilvl w:val="0"/>
          <w:numId w:val="6"/>
        </w:numPr>
      </w:pPr>
      <w:r w:rsidRPr="001943E4">
        <w:rPr>
          <w:b/>
        </w:rPr>
        <w:t>Tattoo Establishment</w:t>
      </w:r>
      <w:r>
        <w:t xml:space="preserve"> – Operating licenses are issued to permanent and temporary tattoo establishments if they meet the building, sanitation, and training requirements specified by rule. Permanent locations receive a license that is valid for one year from date of issue. Temporary locations receive a license that is good for 14 days and limited to a single location. The program allows for annual inspections and enforcement actions when needed.  Any tattoo artist working at an establishment must have an active individual license. This inspection form is available for remote devices.</w:t>
      </w:r>
    </w:p>
    <w:p w14:paraId="1E25CB1E" w14:textId="77777777" w:rsidR="001943E4" w:rsidRDefault="001943E4" w:rsidP="001943E4"/>
    <w:p w14:paraId="6C7C0B45" w14:textId="56E070D3" w:rsidR="001943E4" w:rsidRDefault="001943E4" w:rsidP="00CC5546"/>
    <w:p w14:paraId="5A2C5029" w14:textId="47DC4C11" w:rsidR="00024CC2" w:rsidRDefault="00024CC2" w:rsidP="00024CC2">
      <w:pPr>
        <w:rPr>
          <w:b/>
        </w:rPr>
      </w:pPr>
      <w:r>
        <w:rPr>
          <w:b/>
        </w:rPr>
        <w:t>The Current Application</w:t>
      </w:r>
    </w:p>
    <w:p w14:paraId="695EF6EC" w14:textId="05EC6543" w:rsidR="00024CC2" w:rsidRDefault="00024CC2" w:rsidP="00024CC2">
      <w:pPr>
        <w:rPr>
          <w:b/>
        </w:rPr>
      </w:pPr>
    </w:p>
    <w:p w14:paraId="58F57183" w14:textId="2052C037" w:rsidR="00024CC2" w:rsidRPr="00024CC2" w:rsidRDefault="00024CC2" w:rsidP="00024CC2">
      <w:r>
        <w:t>The system is made up of three major components: 1) The core EHD system; 2) The online billing and permitting system; and 3) The EHD Mobile Application.</w:t>
      </w:r>
    </w:p>
    <w:p w14:paraId="7B554436" w14:textId="184845FA" w:rsidR="00024CC2" w:rsidRDefault="00024CC2" w:rsidP="00CC5546"/>
    <w:p w14:paraId="732C192E" w14:textId="7D05246E" w:rsidR="00024CC2" w:rsidRPr="00DA549B" w:rsidRDefault="00024CC2" w:rsidP="00DA549B">
      <w:pPr>
        <w:pStyle w:val="ListParagraph"/>
        <w:numPr>
          <w:ilvl w:val="0"/>
          <w:numId w:val="10"/>
        </w:numPr>
        <w:autoSpaceDE w:val="0"/>
        <w:autoSpaceDN w:val="0"/>
        <w:adjustRightInd w:val="0"/>
        <w:rPr>
          <w:rFonts w:cs="Arial"/>
          <w:bCs/>
          <w:iCs/>
        </w:rPr>
      </w:pPr>
      <w:r>
        <w:t xml:space="preserve">The Environmental Health Database (EHD) - </w:t>
      </w:r>
      <w:r w:rsidR="00DA549B">
        <w:t>This</w:t>
      </w:r>
      <w:r>
        <w:t xml:space="preserve"> is </w:t>
      </w:r>
      <w:r w:rsidRPr="006851C8">
        <w:t>a mandated</w:t>
      </w:r>
      <w:r w:rsidR="00DA549B">
        <w:t>,</w:t>
      </w:r>
      <w:r w:rsidRPr="006851C8">
        <w:t xml:space="preserve"> statewide, computerized system designed to track, monitor, analyze and report on information for Environmental Health programs. It provides support for </w:t>
      </w:r>
      <w:r>
        <w:t xml:space="preserve">all the </w:t>
      </w:r>
      <w:r w:rsidRPr="006851C8">
        <w:t>programs</w:t>
      </w:r>
      <w:r>
        <w:t xml:space="preserve"> described in the previous section.</w:t>
      </w:r>
      <w:r w:rsidRPr="006851C8">
        <w:t xml:space="preserve"> </w:t>
      </w:r>
      <w:r w:rsidRPr="00DA549B">
        <w:rPr>
          <w:rFonts w:cs="Arial"/>
        </w:rPr>
        <w:t>All 67 c</w:t>
      </w:r>
      <w:r w:rsidR="00DA549B">
        <w:rPr>
          <w:rFonts w:cs="Arial"/>
        </w:rPr>
        <w:t>ounty health departments use this system.</w:t>
      </w:r>
      <w:r w:rsidRPr="00DA549B">
        <w:rPr>
          <w:rFonts w:cs="Arial"/>
        </w:rPr>
        <w:t xml:space="preserve">  </w:t>
      </w:r>
      <w:r w:rsidR="00DA549B">
        <w:t>It provides</w:t>
      </w:r>
      <w:r w:rsidRPr="006851C8">
        <w:t xml:space="preserve"> the individual local health departments </w:t>
      </w:r>
      <w:r>
        <w:t xml:space="preserve">the capability to </w:t>
      </w:r>
      <w:r w:rsidRPr="006851C8">
        <w:t>track demographics,</w:t>
      </w:r>
      <w:r>
        <w:t xml:space="preserve"> inspections, employee’ activities</w:t>
      </w:r>
      <w:r w:rsidRPr="006851C8">
        <w:t xml:space="preserve"> and accounting requirements.</w:t>
      </w:r>
      <w:r w:rsidRPr="00DA549B">
        <w:rPr>
          <w:rFonts w:cs="Arial"/>
        </w:rPr>
        <w:t xml:space="preserve"> EHD is used for invoicing permit-related and other fees, recording payments, and printing the permits. Reports for the counties and headquarters use real time data. </w:t>
      </w:r>
    </w:p>
    <w:p w14:paraId="7DCEDE90" w14:textId="77777777" w:rsidR="00024CC2" w:rsidRDefault="00024CC2" w:rsidP="00024CC2">
      <w:pPr>
        <w:pStyle w:val="ListParagraph"/>
        <w:autoSpaceDE w:val="0"/>
        <w:autoSpaceDN w:val="0"/>
        <w:adjustRightInd w:val="0"/>
        <w:rPr>
          <w:rFonts w:cs="Arial"/>
        </w:rPr>
      </w:pPr>
    </w:p>
    <w:p w14:paraId="043D270A" w14:textId="77777777" w:rsidR="00024CC2" w:rsidRDefault="00024CC2" w:rsidP="00024CC2">
      <w:pPr>
        <w:pStyle w:val="ListParagraph"/>
        <w:autoSpaceDE w:val="0"/>
        <w:autoSpaceDN w:val="0"/>
        <w:adjustRightInd w:val="0"/>
        <w:rPr>
          <w:rFonts w:cs="Arial"/>
        </w:rPr>
      </w:pPr>
      <w:r>
        <w:rPr>
          <w:rFonts w:cs="Arial"/>
        </w:rPr>
        <w:t xml:space="preserve">EHD is used to track and record inspections with written explanations of each violation found. Completed inspections are reviewed with the business owner or representative who acknowledges the report by attaching a signature to the </w:t>
      </w:r>
      <w:r>
        <w:rPr>
          <w:rFonts w:cs="Arial"/>
        </w:rPr>
        <w:lastRenderedPageBreak/>
        <w:t>inspector’s copy of the report. If the inspector is using the remote application, the owner would sign the inspection report using touch screen technology. If there is no one available to review and accept the inspection, it is mailed or emailed to the owner for review.</w:t>
      </w:r>
    </w:p>
    <w:p w14:paraId="390F4D53" w14:textId="77777777" w:rsidR="00024CC2" w:rsidRDefault="00024CC2" w:rsidP="00024CC2">
      <w:pPr>
        <w:pStyle w:val="ListParagraph"/>
        <w:autoSpaceDE w:val="0"/>
        <w:autoSpaceDN w:val="0"/>
        <w:adjustRightInd w:val="0"/>
        <w:rPr>
          <w:rFonts w:cs="Arial"/>
        </w:rPr>
      </w:pPr>
    </w:p>
    <w:p w14:paraId="1B1646D1" w14:textId="77777777" w:rsidR="00024CC2" w:rsidRDefault="00024CC2" w:rsidP="00024CC2">
      <w:pPr>
        <w:pStyle w:val="ListParagraph"/>
        <w:autoSpaceDE w:val="0"/>
        <w:autoSpaceDN w:val="0"/>
        <w:adjustRightInd w:val="0"/>
        <w:rPr>
          <w:rFonts w:cs="Arial"/>
        </w:rPr>
      </w:pPr>
      <w:r>
        <w:rPr>
          <w:rFonts w:cs="Arial"/>
        </w:rPr>
        <w:t xml:space="preserve">When an entity fails an inspection, the system notes the failure and the circumstances. The inspector identifies the date the violation must be completed or addressed on the form.  Photographs may be taken to document the failure which will be stored with the inspection record. The inspector will return to that location and complete a re-inspection on or near that date to assure compliance by the business owner. Failure to comply may invoke other actions by staff such as Letter of Compliance or Forced Closure. </w:t>
      </w:r>
    </w:p>
    <w:p w14:paraId="40A7755A" w14:textId="77777777" w:rsidR="00024CC2" w:rsidRDefault="00024CC2" w:rsidP="00024CC2">
      <w:pPr>
        <w:pStyle w:val="ListParagraph"/>
        <w:autoSpaceDE w:val="0"/>
        <w:autoSpaceDN w:val="0"/>
        <w:adjustRightInd w:val="0"/>
        <w:rPr>
          <w:rFonts w:cs="Arial"/>
        </w:rPr>
      </w:pPr>
    </w:p>
    <w:p w14:paraId="734DC4B9" w14:textId="77777777" w:rsidR="00024CC2" w:rsidRPr="00254C02" w:rsidRDefault="00024CC2" w:rsidP="00024CC2">
      <w:pPr>
        <w:pStyle w:val="ListParagraph"/>
        <w:autoSpaceDE w:val="0"/>
        <w:autoSpaceDN w:val="0"/>
        <w:adjustRightInd w:val="0"/>
        <w:rPr>
          <w:rFonts w:cs="Arial"/>
          <w:bCs/>
          <w:iCs/>
        </w:rPr>
      </w:pPr>
      <w:r>
        <w:rPr>
          <w:rFonts w:cs="Arial"/>
        </w:rPr>
        <w:t xml:space="preserve">EHD tracks nuisance complaints made against a facility or incidents where numerous and serious violations have been encountered. It manages the complaint inspections and other compliance-related activities taken with the facility.  </w:t>
      </w:r>
    </w:p>
    <w:p w14:paraId="0980F4E8" w14:textId="77777777" w:rsidR="00024CC2" w:rsidRDefault="00024CC2" w:rsidP="00024CC2">
      <w:pPr>
        <w:pStyle w:val="ListParagraph"/>
        <w:autoSpaceDE w:val="0"/>
        <w:autoSpaceDN w:val="0"/>
        <w:adjustRightInd w:val="0"/>
        <w:rPr>
          <w:rFonts w:cs="Arial"/>
        </w:rPr>
      </w:pPr>
    </w:p>
    <w:p w14:paraId="334019F6" w14:textId="08CEDA68" w:rsidR="00024CC2" w:rsidRPr="00254C02" w:rsidRDefault="00DA549B" w:rsidP="00024CC2">
      <w:pPr>
        <w:pStyle w:val="ListParagraph"/>
        <w:autoSpaceDE w:val="0"/>
        <w:autoSpaceDN w:val="0"/>
        <w:adjustRightInd w:val="0"/>
        <w:rPr>
          <w:rFonts w:cs="Arial"/>
          <w:bCs/>
          <w:iCs/>
        </w:rPr>
      </w:pPr>
      <w:r>
        <w:rPr>
          <w:rFonts w:cs="Arial"/>
        </w:rPr>
        <w:t>Bureau of Environmental Health (BEH) r</w:t>
      </w:r>
      <w:r w:rsidR="00024CC2">
        <w:rPr>
          <w:rFonts w:cs="Arial"/>
        </w:rPr>
        <w:t xml:space="preserve">ules require that a file be maintained on every entity that includes the original application form, renewal applications, inspection forms, complaint investigations and results, written correspondence, copies of operating permits, letters of compliance, operating procedures, site plans, and other documents. These must be available for each facility. These documents may be preserved in electronic format. The documents must remain available until the record reaches the end of the retention schedule for the appropriate program. </w:t>
      </w:r>
    </w:p>
    <w:p w14:paraId="3D30B641" w14:textId="77777777" w:rsidR="00024CC2" w:rsidRDefault="00024CC2" w:rsidP="00024CC2">
      <w:pPr>
        <w:autoSpaceDE w:val="0"/>
        <w:autoSpaceDN w:val="0"/>
        <w:adjustRightInd w:val="0"/>
        <w:rPr>
          <w:rFonts w:cs="Arial"/>
          <w:bCs/>
          <w:iCs/>
        </w:rPr>
      </w:pPr>
    </w:p>
    <w:p w14:paraId="10CCA4D2" w14:textId="77777777" w:rsidR="00024CC2" w:rsidRDefault="00024CC2" w:rsidP="00024CC2">
      <w:pPr>
        <w:pStyle w:val="ListParagraph"/>
      </w:pPr>
      <w:r>
        <w:t xml:space="preserve">EHD </w:t>
      </w:r>
      <w:r w:rsidRPr="00E7289F">
        <w:t>offer</w:t>
      </w:r>
      <w:r>
        <w:t>s</w:t>
      </w:r>
      <w:r w:rsidRPr="00DE1375">
        <w:t xml:space="preserve"> the ability for statewide data to be accessed by the public and state agencies on a need to know basis.</w:t>
      </w:r>
      <w:r>
        <w:t xml:space="preserve">  It uses current technology and can enhance business processes using new technology such as in-field use of field computer with touchscreen input. </w:t>
      </w:r>
    </w:p>
    <w:p w14:paraId="15DBD187" w14:textId="77777777" w:rsidR="00024CC2" w:rsidRDefault="00024CC2" w:rsidP="00024CC2">
      <w:pPr>
        <w:autoSpaceDE w:val="0"/>
        <w:autoSpaceDN w:val="0"/>
        <w:adjustRightInd w:val="0"/>
        <w:ind w:left="720"/>
        <w:rPr>
          <w:rFonts w:cs="Arial"/>
        </w:rPr>
      </w:pPr>
    </w:p>
    <w:p w14:paraId="27B15513" w14:textId="2D01D53A" w:rsidR="00024CC2" w:rsidRDefault="00024CC2" w:rsidP="00DA549B">
      <w:pPr>
        <w:ind w:left="720"/>
      </w:pPr>
      <w:r>
        <w:rPr>
          <w:rFonts w:cs="Arial"/>
        </w:rPr>
        <w:t xml:space="preserve">GIS information has been added to the data and is used to provide </w:t>
      </w:r>
      <w:r w:rsidRPr="00DE1375">
        <w:t>mapping and tracking</w:t>
      </w:r>
      <w:r>
        <w:t xml:space="preserve"> of</w:t>
      </w:r>
      <w:r w:rsidRPr="00DE1375">
        <w:t xml:space="preserve"> associated</w:t>
      </w:r>
      <w:r>
        <w:t xml:space="preserve"> </w:t>
      </w:r>
      <w:r w:rsidRPr="00DE1375">
        <w:t>illness</w:t>
      </w:r>
      <w:r>
        <w:t>es</w:t>
      </w:r>
      <w:r w:rsidRPr="00DE1375">
        <w:t xml:space="preserve"> and other environmental health issues that will provide necessary data for</w:t>
      </w:r>
      <w:r>
        <w:t xml:space="preserve"> </w:t>
      </w:r>
      <w:r w:rsidRPr="00DE1375">
        <w:t>relational analysis of these programs. Incorporation of GIS activities throughout all</w:t>
      </w:r>
      <w:r>
        <w:t xml:space="preserve"> environmental health programs </w:t>
      </w:r>
      <w:r w:rsidRPr="00DE1375">
        <w:t>is an integral part of the overall design of the system. The ability to graphically</w:t>
      </w:r>
      <w:r>
        <w:t xml:space="preserve"> </w:t>
      </w:r>
      <w:r w:rsidRPr="00DE1375">
        <w:t>display and disseminate environmental health information is paramount to the success</w:t>
      </w:r>
      <w:r>
        <w:t xml:space="preserve"> </w:t>
      </w:r>
      <w:r w:rsidRPr="00DE1375">
        <w:t>of the environmental health mission.</w:t>
      </w:r>
    </w:p>
    <w:p w14:paraId="6DA37A5D" w14:textId="0665970A" w:rsidR="00024CC2" w:rsidRDefault="00024CC2" w:rsidP="00CC5546"/>
    <w:p w14:paraId="6455A11C" w14:textId="77777777" w:rsidR="00DA549B" w:rsidRDefault="00DA549B" w:rsidP="00DA549B">
      <w:pPr>
        <w:pStyle w:val="ListParagraph"/>
        <w:numPr>
          <w:ilvl w:val="0"/>
          <w:numId w:val="10"/>
        </w:numPr>
      </w:pPr>
      <w:r>
        <w:t xml:space="preserve">The Online Billing and Permitting (OBP) system is a public-facing payment portal that resides at </w:t>
      </w:r>
      <w:hyperlink r:id="rId10" w:history="1">
        <w:r w:rsidRPr="00D316AD">
          <w:rPr>
            <w:rStyle w:val="Hyperlink"/>
          </w:rPr>
          <w:t>www.myfloridaehpermits.com</w:t>
        </w:r>
      </w:hyperlink>
      <w:r>
        <w:t xml:space="preserve">. This site allows citizens to access their permitted accounts and pay outstanding invoices electronically. The system allows users to print their permits and submit renewal applications online. Payments are made using a transparent transfer to the Bank of America payment portal. The Bank manages and maintains the information for the actual payment, sharing only enough information for us to connect their data to ours. The Florida Department of Health does not store payment information. The Bank confirms existence of a payment account and OBP stores the confirmation data only. If there are no holds on the permit, the owner may print his or her permit directly from this site. The system alerts </w:t>
      </w:r>
      <w:r>
        <w:lastRenderedPageBreak/>
        <w:t>CHD staff to submitted application changes allowing them to review and approve the changes prior to migrating them into the primary data tables.</w:t>
      </w:r>
    </w:p>
    <w:p w14:paraId="44129C58" w14:textId="77777777" w:rsidR="00DA549B" w:rsidRDefault="00DA549B" w:rsidP="00DA549B"/>
    <w:p w14:paraId="1904A866" w14:textId="77777777" w:rsidR="00DA549B" w:rsidRDefault="00DA549B" w:rsidP="00DA549B">
      <w:pPr>
        <w:pStyle w:val="ListParagraph"/>
        <w:numPr>
          <w:ilvl w:val="0"/>
          <w:numId w:val="10"/>
        </w:numPr>
      </w:pPr>
      <w:r>
        <w:t xml:space="preserve">The Environmental Health Database Mobile Application (EHDMA) is a remote application that provides entity information, previous inspections and the ability to enter new inspections using a laptop or tablet that is not connected to the DOH intranet. The application uses touch-screen technology for data entry. The data gathered during the inspections is uploaded into EHD on demand. </w:t>
      </w:r>
    </w:p>
    <w:p w14:paraId="02600C2A" w14:textId="0F923203" w:rsidR="00DA549B" w:rsidRDefault="00DA549B" w:rsidP="00CC5546"/>
    <w:p w14:paraId="5629FF51" w14:textId="77777777" w:rsidR="00DA549B" w:rsidRPr="00DA549B" w:rsidRDefault="00DA549B" w:rsidP="00DA549B">
      <w:pPr>
        <w:keepNext/>
        <w:rPr>
          <w:i/>
          <w:u w:val="single"/>
        </w:rPr>
      </w:pPr>
      <w:r w:rsidRPr="00DA549B">
        <w:rPr>
          <w:i/>
          <w:u w:val="single"/>
        </w:rPr>
        <w:t>Basic Functionality</w:t>
      </w:r>
    </w:p>
    <w:p w14:paraId="24349EB1" w14:textId="77777777" w:rsidR="00DA549B" w:rsidRDefault="00DA549B" w:rsidP="00DA549B">
      <w:pPr>
        <w:keepNext/>
      </w:pPr>
    </w:p>
    <w:p w14:paraId="11B8C518" w14:textId="3C32BEEC" w:rsidR="00DA549B" w:rsidRDefault="00DA549B" w:rsidP="00DA549B">
      <w:pPr>
        <w:keepNext/>
      </w:pPr>
      <w:r>
        <w:t xml:space="preserve">Every program and function has requirements for defining and approving entities (facilities and individuals) by program and each has its “exceptions”. Every program has its own unique application and inspection form but the primary process can be explained </w:t>
      </w:r>
      <w:r w:rsidR="00F01A56">
        <w:t>in the following process synopsis</w:t>
      </w:r>
      <w:r>
        <w:t>:</w:t>
      </w:r>
    </w:p>
    <w:p w14:paraId="786DE68F" w14:textId="77777777" w:rsidR="00DA549B" w:rsidRDefault="00DA549B" w:rsidP="00DA549B"/>
    <w:p w14:paraId="2B32E8AC" w14:textId="14A3B5C7" w:rsidR="00DA549B" w:rsidRPr="007B7123" w:rsidRDefault="00DA549B" w:rsidP="007B7123">
      <w:pPr>
        <w:ind w:left="360" w:right="540"/>
        <w:jc w:val="both"/>
        <w:rPr>
          <w:rFonts w:asciiTheme="minorHAnsi" w:hAnsiTheme="minorHAnsi" w:cstheme="minorHAnsi"/>
          <w:szCs w:val="22"/>
        </w:rPr>
      </w:pPr>
      <w:r w:rsidRPr="007B7123">
        <w:rPr>
          <w:rFonts w:asciiTheme="minorHAnsi" w:hAnsiTheme="minorHAnsi" w:cstheme="minorHAnsi"/>
          <w:szCs w:val="22"/>
        </w:rPr>
        <w:t xml:space="preserve">An entity needing a permit submits the appropriate application form to their local county health department (CHD) environmental health office. The CHD reviews the form for completeness, enters the information into the EHD application, and generates an invoice to cover the initial application fee (if applicable) and the annual state permit fee. The entity owner (or “customer”) pays the invoice and receives a printed line-item receipt. The CHD staff assigns the entity to a DOH employee who will conduct inspections. The inspector manually adds the entity’s location to his or her schedule for the initial inspection. </w:t>
      </w:r>
    </w:p>
    <w:p w14:paraId="5B14D78A" w14:textId="77777777" w:rsidR="00DA549B" w:rsidRPr="007B7123" w:rsidRDefault="00DA549B" w:rsidP="007B7123">
      <w:pPr>
        <w:ind w:left="360" w:right="540"/>
        <w:jc w:val="both"/>
        <w:rPr>
          <w:rFonts w:asciiTheme="minorHAnsi" w:hAnsiTheme="minorHAnsi" w:cstheme="minorHAnsi"/>
          <w:szCs w:val="22"/>
        </w:rPr>
      </w:pPr>
    </w:p>
    <w:p w14:paraId="499DA6CB" w14:textId="1600D525" w:rsidR="00DA549B" w:rsidRPr="007B7123" w:rsidRDefault="00DA549B" w:rsidP="007B7123">
      <w:pPr>
        <w:ind w:left="360" w:right="540"/>
        <w:jc w:val="both"/>
        <w:rPr>
          <w:rFonts w:asciiTheme="minorHAnsi" w:hAnsiTheme="minorHAnsi" w:cstheme="minorHAnsi"/>
          <w:szCs w:val="22"/>
        </w:rPr>
      </w:pPr>
      <w:r w:rsidRPr="007B7123">
        <w:rPr>
          <w:rFonts w:asciiTheme="minorHAnsi" w:hAnsiTheme="minorHAnsi" w:cstheme="minorHAnsi"/>
          <w:szCs w:val="22"/>
        </w:rPr>
        <w:t>The inspector may take a hard-copy of the inspection form or use a notebook or laptop which has the remote application installed, to the location and complete the full inspection. If there are violations, the inspector will mark those on the form and add comments to fully describe the problem or failure. The inspector will review the form and the violations with the business owner or the owner’s representative and acquire a signature from that person. The completed inspection report has the violations marked and has references to the statute or administrative rule that defines the violation. This report may be printed and handed to the representative or the inspector may email a copy of the report to the owner.</w:t>
      </w:r>
    </w:p>
    <w:p w14:paraId="40149589" w14:textId="77777777" w:rsidR="00DA549B" w:rsidRPr="007B7123" w:rsidRDefault="00DA549B" w:rsidP="007B7123">
      <w:pPr>
        <w:ind w:left="360" w:right="540"/>
        <w:jc w:val="both"/>
        <w:rPr>
          <w:rFonts w:asciiTheme="minorHAnsi" w:hAnsiTheme="minorHAnsi" w:cstheme="minorHAnsi"/>
          <w:szCs w:val="22"/>
        </w:rPr>
      </w:pPr>
    </w:p>
    <w:p w14:paraId="70B96FCD" w14:textId="78595F59" w:rsidR="00DA549B" w:rsidRPr="007B7123" w:rsidRDefault="00DA549B" w:rsidP="007B7123">
      <w:pPr>
        <w:ind w:left="360" w:right="540"/>
        <w:jc w:val="both"/>
        <w:rPr>
          <w:rFonts w:asciiTheme="minorHAnsi" w:hAnsiTheme="minorHAnsi" w:cstheme="minorHAnsi"/>
          <w:szCs w:val="22"/>
        </w:rPr>
      </w:pPr>
      <w:r w:rsidRPr="007B7123">
        <w:rPr>
          <w:rFonts w:asciiTheme="minorHAnsi" w:hAnsiTheme="minorHAnsi" w:cstheme="minorHAnsi"/>
          <w:szCs w:val="22"/>
        </w:rPr>
        <w:t>If there are violations, the owner is given a timeframe for correcting the violations. The inspector will return at the end of the time and conduct another inspection to assure those issues are now in compliance. When the location passes the inspection, the owner is issued a permit by U.S. mail or by email. The same process is followed for all other inspections except for the issuance of the permit. Once an entity is in the system, permits will be re-generated at scheduled intervals. Locations that require more than the required number of inspections per year to reach compliance may be charged for the additional inspections.</w:t>
      </w:r>
    </w:p>
    <w:p w14:paraId="1502ECCF" w14:textId="77777777" w:rsidR="00DA549B" w:rsidRPr="007B7123" w:rsidRDefault="00DA549B" w:rsidP="007B7123">
      <w:pPr>
        <w:ind w:left="360" w:right="540"/>
        <w:jc w:val="both"/>
        <w:rPr>
          <w:rFonts w:asciiTheme="minorHAnsi" w:hAnsiTheme="minorHAnsi" w:cstheme="minorHAnsi"/>
          <w:szCs w:val="22"/>
        </w:rPr>
      </w:pPr>
    </w:p>
    <w:p w14:paraId="2C4372E1" w14:textId="77777777" w:rsidR="00DA549B" w:rsidRPr="007B7123" w:rsidRDefault="00DA549B" w:rsidP="007B7123">
      <w:pPr>
        <w:ind w:left="360" w:right="540"/>
        <w:jc w:val="both"/>
        <w:rPr>
          <w:rFonts w:asciiTheme="minorHAnsi" w:hAnsiTheme="minorHAnsi" w:cstheme="minorHAnsi"/>
          <w:szCs w:val="22"/>
        </w:rPr>
      </w:pPr>
      <w:r w:rsidRPr="007B7123">
        <w:rPr>
          <w:rFonts w:asciiTheme="minorHAnsi" w:hAnsiTheme="minorHAnsi" w:cstheme="minorHAnsi"/>
          <w:szCs w:val="22"/>
        </w:rPr>
        <w:t xml:space="preserve">Inspections are uploaded from the inspector laptops and are then reviewed by a designated reviewer within each CHD. The reviews are used as teaching opportunities to help every inspector improve their identification and description of violations. After the review is completed, the inspections are added into the EHD main tables. </w:t>
      </w:r>
    </w:p>
    <w:p w14:paraId="329AE5A0" w14:textId="77777777" w:rsidR="00DA549B" w:rsidRPr="007B7123" w:rsidRDefault="00DA549B" w:rsidP="007B7123">
      <w:pPr>
        <w:ind w:left="360" w:right="540"/>
        <w:jc w:val="both"/>
        <w:rPr>
          <w:rFonts w:asciiTheme="minorHAnsi" w:hAnsiTheme="minorHAnsi" w:cstheme="minorHAnsi"/>
          <w:szCs w:val="22"/>
        </w:rPr>
      </w:pPr>
    </w:p>
    <w:p w14:paraId="7B67F454" w14:textId="77777777" w:rsidR="00DA549B" w:rsidRPr="007B7123" w:rsidRDefault="00DA549B" w:rsidP="007B7123">
      <w:pPr>
        <w:ind w:left="360" w:right="540"/>
        <w:jc w:val="both"/>
        <w:rPr>
          <w:rFonts w:asciiTheme="minorHAnsi" w:hAnsiTheme="minorHAnsi" w:cstheme="minorHAnsi"/>
          <w:szCs w:val="22"/>
        </w:rPr>
      </w:pPr>
      <w:r w:rsidRPr="007B7123">
        <w:rPr>
          <w:rFonts w:asciiTheme="minorHAnsi" w:hAnsiTheme="minorHAnsi" w:cstheme="minorHAnsi"/>
          <w:szCs w:val="22"/>
        </w:rPr>
        <w:lastRenderedPageBreak/>
        <w:t>Each program generates invoices on a regular schedule. Some programs, like tattooing artists, require each county to invoice every month while others invoice only once a year. The fees charged for permits are set at the state level and defined/maintained within EHD. Some programs have additional county-level fees that can be grouped with the appropriate state-level fee and saved as a billing “scheme” by county. The scheme may be identified when the entity is created or the user can select a different scheme when creating the invoice. The CHDs can create a single invoice for an entity or can create invoices for all active accounts within a selected program or subtype. Late fees can be added to the invoices upon request of the CHD. Staff identifies the program and fees to be added then requests another batch run in which the system adds the late fee to any invoice that has not been paid. Individually created invoices need to be manually updated to include the late fee.</w:t>
      </w:r>
    </w:p>
    <w:p w14:paraId="5E15261C" w14:textId="77777777" w:rsidR="00DA549B" w:rsidRPr="007B7123" w:rsidRDefault="00DA549B" w:rsidP="007B7123">
      <w:pPr>
        <w:ind w:left="360" w:right="540"/>
        <w:jc w:val="both"/>
        <w:rPr>
          <w:rFonts w:asciiTheme="minorHAnsi" w:hAnsiTheme="minorHAnsi" w:cstheme="minorHAnsi"/>
          <w:szCs w:val="22"/>
        </w:rPr>
      </w:pPr>
    </w:p>
    <w:p w14:paraId="6C63FA14" w14:textId="77777777" w:rsidR="00DA549B" w:rsidRPr="007B7123" w:rsidRDefault="00DA549B" w:rsidP="007B7123">
      <w:pPr>
        <w:ind w:left="360" w:right="540"/>
        <w:jc w:val="both"/>
        <w:rPr>
          <w:rFonts w:asciiTheme="minorHAnsi" w:hAnsiTheme="minorHAnsi" w:cstheme="minorHAnsi"/>
          <w:szCs w:val="22"/>
        </w:rPr>
      </w:pPr>
      <w:r w:rsidRPr="007B7123">
        <w:rPr>
          <w:rFonts w:asciiTheme="minorHAnsi" w:hAnsiTheme="minorHAnsi" w:cstheme="minorHAnsi"/>
          <w:szCs w:val="22"/>
        </w:rPr>
        <w:t xml:space="preserve">Regardless of how the invoice is created, the system can identify the permit charges and will automatically calculate the proper begin and end dates for the new permit period based on the program requirements.  The invoices can be emailed to the designated billing representative or mailed to a postal address. Every mailed permit invoice will include a copy of the current application. The owner is asked to confirm that the information on the application is correct or to make changes to the form and re-submit the application. The owner can return the payment and the application to the CHD in person, by regular mail, or by visiting the OBP online portal and paying electronically. The owner will be required to confirm or submit changes to their application online if they pay using the portal. </w:t>
      </w:r>
    </w:p>
    <w:p w14:paraId="527DBF69" w14:textId="77777777" w:rsidR="00DA549B" w:rsidRPr="007B7123" w:rsidRDefault="00DA549B" w:rsidP="007B7123">
      <w:pPr>
        <w:ind w:left="360" w:right="540"/>
        <w:jc w:val="both"/>
        <w:rPr>
          <w:rFonts w:asciiTheme="minorHAnsi" w:hAnsiTheme="minorHAnsi" w:cstheme="minorHAnsi"/>
          <w:szCs w:val="22"/>
        </w:rPr>
      </w:pPr>
    </w:p>
    <w:p w14:paraId="3D24F995" w14:textId="77777777" w:rsidR="00DA549B" w:rsidRPr="007B7123" w:rsidRDefault="00DA549B" w:rsidP="007B7123">
      <w:pPr>
        <w:ind w:left="360" w:right="540"/>
        <w:jc w:val="both"/>
        <w:rPr>
          <w:rFonts w:asciiTheme="minorHAnsi" w:hAnsiTheme="minorHAnsi" w:cstheme="minorHAnsi"/>
          <w:szCs w:val="22"/>
        </w:rPr>
      </w:pPr>
      <w:r w:rsidRPr="007B7123">
        <w:rPr>
          <w:rFonts w:asciiTheme="minorHAnsi" w:hAnsiTheme="minorHAnsi" w:cstheme="minorHAnsi"/>
          <w:szCs w:val="22"/>
        </w:rPr>
        <w:t>When an invoice is created for a permitted entity, the bill is immediately available for payment on the OBP web site. Owners or their representatives can log into the site, select the permit or permits they need to renew and make the payment through the Bank of America (BOA) payment portal. The use of the BOA portal is transparent to the users. Note: While the Bank of America is our current payment provider, this is subject to change in the future. BOA stores and manages the payment information such as account or credit card number, and the portal maintains the identifiers to track online activity with minimal payment data. This is a requirement for all state agencies to assure we can fully protect our citizens and users of our applications. No one can steal what we don’t have available!</w:t>
      </w:r>
    </w:p>
    <w:p w14:paraId="4E87AC2F" w14:textId="77777777" w:rsidR="00DA549B" w:rsidRPr="007B7123" w:rsidRDefault="00DA549B" w:rsidP="007B7123">
      <w:pPr>
        <w:ind w:left="360" w:right="540"/>
        <w:jc w:val="both"/>
        <w:rPr>
          <w:rFonts w:asciiTheme="minorHAnsi" w:hAnsiTheme="minorHAnsi" w:cstheme="minorHAnsi"/>
          <w:szCs w:val="22"/>
        </w:rPr>
      </w:pPr>
    </w:p>
    <w:p w14:paraId="45E565DC" w14:textId="77777777" w:rsidR="00DA549B" w:rsidRPr="007B7123" w:rsidRDefault="00DA549B" w:rsidP="007B7123">
      <w:pPr>
        <w:ind w:left="360" w:right="540"/>
        <w:jc w:val="both"/>
        <w:rPr>
          <w:rFonts w:asciiTheme="minorHAnsi" w:hAnsiTheme="minorHAnsi" w:cstheme="minorHAnsi"/>
          <w:szCs w:val="22"/>
        </w:rPr>
      </w:pPr>
      <w:r w:rsidRPr="007B7123">
        <w:rPr>
          <w:rFonts w:asciiTheme="minorHAnsi" w:hAnsiTheme="minorHAnsi" w:cstheme="minorHAnsi"/>
          <w:szCs w:val="22"/>
        </w:rPr>
        <w:t>After the payment has been confirmed by BOA, the user is taken back into our web site and is presented with their current application data. If multiple permits have been selected, the system will allow the user to cycle through each application. The user may make corrections or changes to the application and submit it to the CHD online. The system presents an affirmation statement for the user to “sign”. Modified applications are flagged for review by CHD staff and will not allow the owner to print their permit until the changes have been approved by the county. The CHD staff is presented with a report that displays the number of applications needing approval and allows the staff to review each in turn. When the application is accepted, an email is sent to the owner notifying them that their permit is ready for printing.</w:t>
      </w:r>
    </w:p>
    <w:p w14:paraId="0C817A26" w14:textId="77777777" w:rsidR="00DA549B" w:rsidRPr="007B7123" w:rsidRDefault="00DA549B" w:rsidP="007B7123">
      <w:pPr>
        <w:ind w:left="360" w:right="540"/>
        <w:jc w:val="both"/>
        <w:rPr>
          <w:rFonts w:asciiTheme="minorHAnsi" w:hAnsiTheme="minorHAnsi" w:cstheme="minorHAnsi"/>
          <w:szCs w:val="22"/>
        </w:rPr>
      </w:pPr>
    </w:p>
    <w:p w14:paraId="5E37B362" w14:textId="49F944E6" w:rsidR="00DA549B" w:rsidRPr="007B7123" w:rsidRDefault="00DA549B" w:rsidP="007B7123">
      <w:pPr>
        <w:ind w:left="360" w:right="540"/>
        <w:jc w:val="both"/>
        <w:rPr>
          <w:rFonts w:asciiTheme="minorHAnsi" w:hAnsiTheme="minorHAnsi" w:cstheme="minorHAnsi"/>
          <w:szCs w:val="22"/>
        </w:rPr>
      </w:pPr>
      <w:r w:rsidRPr="007B7123">
        <w:rPr>
          <w:rFonts w:asciiTheme="minorHAnsi" w:hAnsiTheme="minorHAnsi" w:cstheme="minorHAnsi"/>
          <w:szCs w:val="22"/>
        </w:rPr>
        <w:t xml:space="preserve">OBP provides a reconciliation process for the BEH financial unit, matching invoices to payments to reflect the daily deposit amount. It creates a data file that is submitted to the </w:t>
      </w:r>
      <w:r w:rsidRPr="007B7123">
        <w:rPr>
          <w:rFonts w:asciiTheme="minorHAnsi" w:hAnsiTheme="minorHAnsi" w:cstheme="minorHAnsi"/>
          <w:szCs w:val="22"/>
        </w:rPr>
        <w:lastRenderedPageBreak/>
        <w:t xml:space="preserve">State of Florida’s accounting system (FLAIR) to verify payments and distribution of funds to the counties. </w:t>
      </w:r>
    </w:p>
    <w:p w14:paraId="19E99D8E" w14:textId="77777777" w:rsidR="00DA549B" w:rsidRPr="007B7123" w:rsidRDefault="00DA549B" w:rsidP="007B7123">
      <w:pPr>
        <w:ind w:left="360" w:right="540"/>
        <w:jc w:val="both"/>
        <w:rPr>
          <w:rFonts w:asciiTheme="minorHAnsi" w:hAnsiTheme="minorHAnsi" w:cstheme="minorHAnsi"/>
          <w:szCs w:val="22"/>
        </w:rPr>
      </w:pPr>
    </w:p>
    <w:p w14:paraId="324E1A17" w14:textId="77777777" w:rsidR="00DA549B" w:rsidRPr="007B7123" w:rsidRDefault="00DA549B" w:rsidP="007B7123">
      <w:pPr>
        <w:ind w:left="360" w:right="540"/>
        <w:jc w:val="both"/>
        <w:rPr>
          <w:rFonts w:asciiTheme="minorHAnsi" w:hAnsiTheme="minorHAnsi" w:cstheme="minorHAnsi"/>
          <w:szCs w:val="22"/>
        </w:rPr>
      </w:pPr>
      <w:r w:rsidRPr="007B7123">
        <w:rPr>
          <w:rFonts w:asciiTheme="minorHAnsi" w:hAnsiTheme="minorHAnsi" w:cstheme="minorHAnsi"/>
          <w:szCs w:val="22"/>
        </w:rPr>
        <w:t xml:space="preserve">The remote application pulls information about specific entities as identified by the user, pulling data from the base tables onto the notebook or laptop. It allows the user to review previous inspections for any entity. Once the inspector is on-site, he or she can start the inspection process which includes entering the date and time of the inspection. The system allows the inspector to mark violations as they relate to the selected program and subtype. The inspector is required to enter descriptive text that clearly defines the violation witnessed. The system supplies the legal code reference and description for the violation. The inspector may take photographs of violations and store them on the mobile device where they can be uploaded and attached to the base data within EHD later. </w:t>
      </w:r>
    </w:p>
    <w:p w14:paraId="794BC576" w14:textId="77777777" w:rsidR="00DA549B" w:rsidRPr="007B7123" w:rsidRDefault="00DA549B" w:rsidP="007B7123">
      <w:pPr>
        <w:ind w:left="360" w:right="540"/>
        <w:jc w:val="both"/>
        <w:rPr>
          <w:rFonts w:asciiTheme="minorHAnsi" w:hAnsiTheme="minorHAnsi" w:cstheme="minorHAnsi"/>
          <w:szCs w:val="22"/>
        </w:rPr>
      </w:pPr>
    </w:p>
    <w:p w14:paraId="6AE3294A" w14:textId="77777777" w:rsidR="00DA549B" w:rsidRPr="007B7123" w:rsidRDefault="00DA549B" w:rsidP="007B7123">
      <w:pPr>
        <w:ind w:left="360" w:right="540"/>
        <w:jc w:val="both"/>
        <w:rPr>
          <w:rFonts w:asciiTheme="minorHAnsi" w:hAnsiTheme="minorHAnsi" w:cstheme="minorHAnsi"/>
          <w:szCs w:val="22"/>
        </w:rPr>
      </w:pPr>
      <w:r w:rsidRPr="007B7123">
        <w:rPr>
          <w:rFonts w:asciiTheme="minorHAnsi" w:hAnsiTheme="minorHAnsi" w:cstheme="minorHAnsi"/>
          <w:szCs w:val="22"/>
        </w:rPr>
        <w:t xml:space="preserve">At the end of the inspection, the inspector reviews the violations and assures the form is complete. It is then reviewed with the owner or manager whenever possible. The entity representative will sign the form using the touch screen as will the inspector. A report containing the inspection details, violations (if any) and the signatures is generated by the system using the appropriate legal form and may be presented to the representative as a hard copy or as an electronic attachment to an email. </w:t>
      </w:r>
    </w:p>
    <w:p w14:paraId="27B3EB9A" w14:textId="77777777" w:rsidR="00DA549B" w:rsidRPr="007B7123" w:rsidRDefault="00DA549B" w:rsidP="007B7123">
      <w:pPr>
        <w:ind w:left="360" w:right="540"/>
        <w:jc w:val="both"/>
        <w:rPr>
          <w:rFonts w:asciiTheme="minorHAnsi" w:hAnsiTheme="minorHAnsi" w:cstheme="minorHAnsi"/>
          <w:szCs w:val="22"/>
        </w:rPr>
      </w:pPr>
    </w:p>
    <w:p w14:paraId="3C624631" w14:textId="77777777" w:rsidR="00DA549B" w:rsidRPr="007B7123" w:rsidRDefault="00DA549B" w:rsidP="007B7123">
      <w:pPr>
        <w:ind w:left="360" w:right="540"/>
        <w:jc w:val="both"/>
        <w:rPr>
          <w:rFonts w:asciiTheme="minorHAnsi" w:hAnsiTheme="minorHAnsi" w:cstheme="minorHAnsi"/>
          <w:szCs w:val="22"/>
        </w:rPr>
      </w:pPr>
      <w:r w:rsidRPr="007B7123">
        <w:rPr>
          <w:rFonts w:asciiTheme="minorHAnsi" w:hAnsiTheme="minorHAnsi" w:cstheme="minorHAnsi"/>
          <w:szCs w:val="22"/>
        </w:rPr>
        <w:t xml:space="preserve">The inspector will upload completed inspections into a temporary database where it is available to the official reviewer. The files are reviewed for accuracy and then transferred into the live base tables in EHD. This data will be included in the inspectors next download from EHD. </w:t>
      </w:r>
    </w:p>
    <w:p w14:paraId="212B9813" w14:textId="77777777" w:rsidR="00DA549B" w:rsidRPr="007B7123" w:rsidRDefault="00DA549B" w:rsidP="007B7123">
      <w:pPr>
        <w:ind w:left="360" w:right="540"/>
        <w:jc w:val="both"/>
        <w:rPr>
          <w:rFonts w:asciiTheme="minorHAnsi" w:hAnsiTheme="minorHAnsi" w:cstheme="minorHAnsi"/>
          <w:szCs w:val="22"/>
        </w:rPr>
      </w:pPr>
    </w:p>
    <w:p w14:paraId="2075D550" w14:textId="77777777" w:rsidR="00DA549B" w:rsidRPr="007B7123" w:rsidRDefault="00DA549B" w:rsidP="007B7123">
      <w:pPr>
        <w:ind w:left="360" w:right="540"/>
        <w:jc w:val="both"/>
        <w:rPr>
          <w:rFonts w:asciiTheme="minorHAnsi" w:hAnsiTheme="minorHAnsi" w:cstheme="minorHAnsi"/>
          <w:szCs w:val="22"/>
        </w:rPr>
      </w:pPr>
      <w:r w:rsidRPr="007B7123">
        <w:rPr>
          <w:rFonts w:asciiTheme="minorHAnsi" w:hAnsiTheme="minorHAnsi" w:cstheme="minorHAnsi"/>
          <w:szCs w:val="22"/>
        </w:rPr>
        <w:t xml:space="preserve">Nuisance complaints are submitted to EHD from a variety of sources. The complaint is assigned to the proper county health department based on the location of the complaint and that CHD will perform the inspection and take appropriate action to have it remedied. These complaints are tied to existing entities only 30% of the time. The other 70% are associated with individuals, not companies, or to entities that are not permitted by the BEH. They are still our responsibility to review and remedy. All actions taken for or about the complaint are maintained within EHD.  </w:t>
      </w:r>
    </w:p>
    <w:p w14:paraId="638531AE" w14:textId="77777777" w:rsidR="00DA549B" w:rsidRDefault="00DA549B" w:rsidP="00DA549B"/>
    <w:p w14:paraId="07CFD554" w14:textId="77777777" w:rsidR="00DA549B" w:rsidRPr="007B7123" w:rsidRDefault="00DA549B" w:rsidP="00DA549B">
      <w:pPr>
        <w:rPr>
          <w:i/>
          <w:u w:val="single"/>
        </w:rPr>
      </w:pPr>
      <w:r w:rsidRPr="007B7123">
        <w:rPr>
          <w:i/>
          <w:u w:val="single"/>
        </w:rPr>
        <w:t>Searching</w:t>
      </w:r>
    </w:p>
    <w:p w14:paraId="4B37A752" w14:textId="77777777" w:rsidR="00DA549B" w:rsidRDefault="00DA549B" w:rsidP="00DA549B">
      <w:pPr>
        <w:rPr>
          <w:u w:val="single"/>
        </w:rPr>
      </w:pPr>
    </w:p>
    <w:p w14:paraId="311ACA49" w14:textId="11A2D6BF" w:rsidR="00DA549B" w:rsidRPr="008C035F" w:rsidRDefault="00DA549B" w:rsidP="00DA549B">
      <w:r w:rsidRPr="008C035F">
        <w:t xml:space="preserve">As </w:t>
      </w:r>
      <w:r>
        <w:t xml:space="preserve">with any system, the data entered into an application is only as good as the application’s ability to retrieve the data when needed. There are hundreds of </w:t>
      </w:r>
      <w:r w:rsidR="007B7123">
        <w:t xml:space="preserve">reports within the applications, as </w:t>
      </w:r>
      <w:r>
        <w:t xml:space="preserve">described in the section that follows. The search screens offer multiple means of filtering data based on the information supplied by the user. The fastest method is to search by a Permit Number or assigned Document Number since these are unique identifiers and will bring back the one record being sought. Users can search for entities in their county by program, program and subtype, company or owner’s name, the DOH responsible employee, the business address, the city and zip code, or by operating flag (i.e., the hold flag) to retrieve sets of data that can be reviewed. </w:t>
      </w:r>
    </w:p>
    <w:p w14:paraId="6BCF0FA9" w14:textId="77777777" w:rsidR="00DA549B" w:rsidRDefault="00DA549B" w:rsidP="00DA549B">
      <w:pPr>
        <w:rPr>
          <w:u w:val="single"/>
        </w:rPr>
      </w:pPr>
    </w:p>
    <w:p w14:paraId="0198A8A1" w14:textId="77777777" w:rsidR="00DA549B" w:rsidRPr="007B7123" w:rsidRDefault="00DA549B" w:rsidP="007B7123">
      <w:pPr>
        <w:keepNext/>
        <w:rPr>
          <w:i/>
          <w:u w:val="single"/>
        </w:rPr>
      </w:pPr>
      <w:r w:rsidRPr="007B7123">
        <w:rPr>
          <w:i/>
          <w:u w:val="single"/>
        </w:rPr>
        <w:lastRenderedPageBreak/>
        <w:t>Reporting</w:t>
      </w:r>
    </w:p>
    <w:p w14:paraId="5889E10F" w14:textId="77777777" w:rsidR="00DA549B" w:rsidRDefault="00DA549B" w:rsidP="007B7123">
      <w:pPr>
        <w:keepNext/>
        <w:rPr>
          <w:u w:val="single"/>
        </w:rPr>
      </w:pPr>
    </w:p>
    <w:p w14:paraId="3C8BDB9C" w14:textId="2B6879D3" w:rsidR="00DA549B" w:rsidRDefault="00DA549B" w:rsidP="007B7123">
      <w:pPr>
        <w:keepNext/>
      </w:pPr>
      <w:r w:rsidRPr="00A85204">
        <w:t>The form</w:t>
      </w:r>
      <w:r>
        <w:t>s</w:t>
      </w:r>
      <w:r w:rsidRPr="00A85204">
        <w:t xml:space="preserve"> used for gathering and distributing data </w:t>
      </w:r>
      <w:r>
        <w:t xml:space="preserve">for BEH </w:t>
      </w:r>
      <w:r w:rsidRPr="00A85204">
        <w:t xml:space="preserve">are structured and formalized. </w:t>
      </w:r>
      <w:r>
        <w:t>According to the DOH Manual</w:t>
      </w:r>
      <w:r w:rsidR="007B7123">
        <w:t>, 150-4</w:t>
      </w:r>
      <w:r>
        <w:t xml:space="preserve">: </w:t>
      </w:r>
    </w:p>
    <w:p w14:paraId="5C74C8D6" w14:textId="77777777" w:rsidR="00DA549B" w:rsidRDefault="00DA549B" w:rsidP="00DA549B"/>
    <w:p w14:paraId="0749996E" w14:textId="77777777" w:rsidR="00DA549B" w:rsidRPr="007B7123" w:rsidRDefault="00DA549B" w:rsidP="007B7123">
      <w:pPr>
        <w:ind w:left="450"/>
        <w:jc w:val="both"/>
        <w:rPr>
          <w:rFonts w:asciiTheme="minorHAnsi" w:hAnsiTheme="minorHAnsi" w:cstheme="minorHAnsi"/>
        </w:rPr>
      </w:pPr>
      <w:r w:rsidRPr="007B7123">
        <w:rPr>
          <w:rFonts w:asciiTheme="minorHAnsi" w:hAnsiTheme="minorHAnsi" w:cstheme="minorHAnsi"/>
        </w:rPr>
        <w:t>“It is imperative that the environmental health system capture all information supplied by the individual users and maintain its integrity at all levels. Advanced technology and devices provide greater means for coordination of Bureau of Environmental Health and all county health department programs and activities.</w:t>
      </w:r>
    </w:p>
    <w:p w14:paraId="2D8FC2B7" w14:textId="77777777" w:rsidR="00DA549B" w:rsidRPr="007B7123" w:rsidRDefault="00DA549B" w:rsidP="007B7123">
      <w:pPr>
        <w:autoSpaceDE w:val="0"/>
        <w:autoSpaceDN w:val="0"/>
        <w:adjustRightInd w:val="0"/>
        <w:ind w:left="450"/>
        <w:jc w:val="both"/>
        <w:rPr>
          <w:rFonts w:asciiTheme="minorHAnsi" w:hAnsiTheme="minorHAnsi" w:cstheme="minorHAnsi"/>
          <w:sz w:val="23"/>
          <w:szCs w:val="23"/>
        </w:rPr>
      </w:pPr>
    </w:p>
    <w:p w14:paraId="7F2DB155" w14:textId="7AFE783C" w:rsidR="00DA549B" w:rsidRPr="007B7123" w:rsidRDefault="00DA549B" w:rsidP="007B7123">
      <w:pPr>
        <w:autoSpaceDE w:val="0"/>
        <w:autoSpaceDN w:val="0"/>
        <w:adjustRightInd w:val="0"/>
        <w:ind w:left="450"/>
        <w:jc w:val="both"/>
        <w:rPr>
          <w:rFonts w:asciiTheme="minorHAnsi" w:hAnsiTheme="minorHAnsi" w:cstheme="minorHAnsi"/>
        </w:rPr>
      </w:pPr>
      <w:r w:rsidRPr="007B7123">
        <w:rPr>
          <w:rFonts w:asciiTheme="minorHAnsi" w:hAnsiTheme="minorHAnsi" w:cstheme="minorHAnsi"/>
        </w:rPr>
        <w:t>Approved statewide forms are developed and used by the Bureau of Environmental Health. The bureau develops all necessary forms that are to be used by county health departments. Consistency of the forms and information is important to assure consistency of data and information retained in the EHD system.  This information serves as the foundation for all databases within EHD, used to warehouse information on all programs. County health departments may develop a form for internal use, but must still use the official state forms.”</w:t>
      </w:r>
    </w:p>
    <w:p w14:paraId="16F8F554" w14:textId="77777777" w:rsidR="00DA549B" w:rsidRPr="00A85204" w:rsidRDefault="00DA549B" w:rsidP="00DA549B"/>
    <w:p w14:paraId="67E85D46" w14:textId="77777777" w:rsidR="00DA549B" w:rsidRDefault="00DA549B" w:rsidP="00DA549B">
      <w:r>
        <w:t>T</w:t>
      </w:r>
      <w:r w:rsidRPr="00A85204">
        <w:t xml:space="preserve">he forms and reports found within </w:t>
      </w:r>
      <w:r>
        <w:t xml:space="preserve">the three applications support DOH requirements, providing the categories, labels and defined values in a similar layout as the legal forms. Electronic reports mirror the entry forms with the values supplied by the data. Non-standardized reports use a format that is most conducive for the user’s needs. Summary reports provide categorized data with sub-totals and allow users to drill down into the details that support the summary. Lists of data provide hyperlinks to individual records whenever possible. Reports are built to be flexible using parameters to determine county, program, subtype, field selection and date ranges wherever possible A dashboard is in progress that allows users to select action items and statistics for display upon entry to the application.  In spite of the broad selection provided to end users, the counties still require the ability to set up their own reports or to customize reports and save them for repeated use. </w:t>
      </w:r>
    </w:p>
    <w:p w14:paraId="584F2463" w14:textId="77777777" w:rsidR="00DA549B" w:rsidRDefault="00DA549B" w:rsidP="00DA549B"/>
    <w:p w14:paraId="6F33E19F" w14:textId="38696451" w:rsidR="00DA549B" w:rsidRDefault="00DA549B" w:rsidP="00DA549B">
      <w:r w:rsidRPr="00DE1375">
        <w:t xml:space="preserve">With the </w:t>
      </w:r>
      <w:r>
        <w:t>data from</w:t>
      </w:r>
      <w:r w:rsidRPr="00DE1375">
        <w:t xml:space="preserve"> </w:t>
      </w:r>
      <w:r>
        <w:rPr>
          <w:rFonts w:cs="Arial"/>
        </w:rPr>
        <w:t>EHD</w:t>
      </w:r>
      <w:r w:rsidRPr="00DE1375">
        <w:t>, the Bureau</w:t>
      </w:r>
      <w:r>
        <w:t xml:space="preserve"> of Environmental Health </w:t>
      </w:r>
      <w:r w:rsidRPr="00DE1375">
        <w:t>generate</w:t>
      </w:r>
      <w:r>
        <w:t>s</w:t>
      </w:r>
      <w:r w:rsidRPr="00DE1375">
        <w:t xml:space="preserve"> current information that </w:t>
      </w:r>
      <w:r>
        <w:t>is</w:t>
      </w:r>
      <w:r w:rsidRPr="00DE1375">
        <w:t xml:space="preserve"> used to manage the respective programs. These areas and activities include the ability to determine staffing levels, inspection activities, revenue estimates, financial tracking, growth</w:t>
      </w:r>
      <w:r w:rsidR="00C409CC">
        <w:t>,</w:t>
      </w:r>
      <w:r w:rsidRPr="00DE1375">
        <w:t xml:space="preserve"> and </w:t>
      </w:r>
      <w:r w:rsidR="00C409CC" w:rsidRPr="00DE1375">
        <w:t>long-range</w:t>
      </w:r>
      <w:r w:rsidRPr="00DE1375">
        <w:t xml:space="preserve"> planning. Most paperwork associated with environmental health </w:t>
      </w:r>
      <w:r>
        <w:t xml:space="preserve">programs </w:t>
      </w:r>
      <w:r w:rsidRPr="00DE1375">
        <w:t xml:space="preserve">originates </w:t>
      </w:r>
      <w:r>
        <w:t xml:space="preserve">through </w:t>
      </w:r>
      <w:r w:rsidRPr="00DE1375">
        <w:t>categor</w:t>
      </w:r>
      <w:r>
        <w:t>ies</w:t>
      </w:r>
      <w:r w:rsidRPr="00DE1375">
        <w:t xml:space="preserve"> such as inspection, re-inspection, investigation, sampling, and enforcement notice of violation. These activities are</w:t>
      </w:r>
      <w:r>
        <w:t xml:space="preserve"> </w:t>
      </w:r>
      <w:r w:rsidRPr="00DE1375">
        <w:t>the fundamental activities of all environmental health programs. CHDs report the program activities to the Boards of County Commissioners</w:t>
      </w:r>
      <w:r>
        <w:t xml:space="preserve"> through use of the data reporting capabilities within the EHD system</w:t>
      </w:r>
      <w:r w:rsidRPr="00DE1375">
        <w:t>.</w:t>
      </w:r>
    </w:p>
    <w:p w14:paraId="3463940A" w14:textId="77777777" w:rsidR="00DA549B" w:rsidRDefault="00DA549B" w:rsidP="00DA549B"/>
    <w:p w14:paraId="6B330019" w14:textId="77777777" w:rsidR="00DA549B" w:rsidRDefault="00DA549B" w:rsidP="00DA549B">
      <w:pPr>
        <w:rPr>
          <w:u w:val="single"/>
        </w:rPr>
      </w:pPr>
      <w:r w:rsidRPr="00274EF7">
        <w:rPr>
          <w:u w:val="single"/>
        </w:rPr>
        <w:t>Staff Certifications</w:t>
      </w:r>
    </w:p>
    <w:p w14:paraId="1E97AF54" w14:textId="77777777" w:rsidR="00DA549B" w:rsidRPr="00274EF7" w:rsidRDefault="00DA549B" w:rsidP="00DA549B">
      <w:pPr>
        <w:rPr>
          <w:u w:val="single"/>
        </w:rPr>
      </w:pPr>
    </w:p>
    <w:p w14:paraId="3C2DE0E3" w14:textId="77777777" w:rsidR="00DA549B" w:rsidRPr="001748E5" w:rsidRDefault="00DA549B" w:rsidP="00DA549B">
      <w:r>
        <w:t xml:space="preserve">DOH has a training maintenance program (TRAIN) but it is not sufficient for the needs of the certification programs. Staff must complete educational coursework to be certified to inspect food, water, and sanitation issues. Certification is maintained by obtaining continuing education credits over time. Many of the courses that qualify toward certification are not provided by DOH and are not offered on a regular, trackable basis so they are not in the TRAIN curricula. Instead, the system allows the program managers to accept documentation that describes training classes, seminars, webinars and video-learning classes and </w:t>
      </w:r>
      <w:r>
        <w:lastRenderedPageBreak/>
        <w:t xml:space="preserve">determine if they are acceptable for certification requirements. The system automates the ability to track training reviews, to authenticate their acceptance as educational credits and to present the course to other staff who may wish to take these courses.  </w:t>
      </w:r>
    </w:p>
    <w:p w14:paraId="769564CB" w14:textId="76F357B0" w:rsidR="00DA549B" w:rsidRDefault="00DA549B" w:rsidP="00CC5546"/>
    <w:p w14:paraId="70780328" w14:textId="7AC2E87F" w:rsidR="00C409CC" w:rsidRDefault="00C409CC" w:rsidP="00CC5546"/>
    <w:p w14:paraId="04BBC41E" w14:textId="491110D0" w:rsidR="00C409CC" w:rsidRDefault="00C409CC" w:rsidP="00C409CC">
      <w:pPr>
        <w:rPr>
          <w:b/>
        </w:rPr>
      </w:pPr>
      <w:r>
        <w:rPr>
          <w:b/>
        </w:rPr>
        <w:t>The Current Application Technical Environment</w:t>
      </w:r>
    </w:p>
    <w:p w14:paraId="225E55E3" w14:textId="0EBFC2C0" w:rsidR="00C409CC" w:rsidRDefault="00C409CC" w:rsidP="00CC5546"/>
    <w:p w14:paraId="6D9EEA88" w14:textId="3038CC20" w:rsidR="00C409CC" w:rsidRPr="00C409CC" w:rsidRDefault="00C409CC" w:rsidP="00CC5546">
      <w:pPr>
        <w:rPr>
          <w:i/>
          <w:u w:val="single"/>
        </w:rPr>
      </w:pPr>
      <w:r w:rsidRPr="00C409CC">
        <w:rPr>
          <w:i/>
          <w:u w:val="single"/>
        </w:rPr>
        <w:t>Infrastructure</w:t>
      </w:r>
    </w:p>
    <w:p w14:paraId="0DFBC36A" w14:textId="68D29421" w:rsidR="00C409CC" w:rsidRDefault="00C409CC" w:rsidP="00CC5546"/>
    <w:p w14:paraId="435DF2D2" w14:textId="2F47287E" w:rsidR="00C409CC" w:rsidRPr="00C409CC" w:rsidRDefault="00C409CC" w:rsidP="00C409CC">
      <w:pPr>
        <w:pStyle w:val="ListParagraph"/>
        <w:numPr>
          <w:ilvl w:val="0"/>
          <w:numId w:val="12"/>
        </w:numPr>
        <w:rPr>
          <w:szCs w:val="22"/>
        </w:rPr>
      </w:pPr>
      <w:r w:rsidRPr="008F5D80">
        <w:t xml:space="preserve">Current System </w:t>
      </w:r>
      <w:r w:rsidRPr="005E713C">
        <w:t>Environment:</w:t>
      </w:r>
    </w:p>
    <w:p w14:paraId="06393EAE" w14:textId="77777777" w:rsidR="00C409CC" w:rsidRPr="0084557F" w:rsidRDefault="00C409CC" w:rsidP="00C409CC">
      <w:pPr>
        <w:pStyle w:val="ListParagraph"/>
        <w:widowControl w:val="0"/>
        <w:numPr>
          <w:ilvl w:val="1"/>
          <w:numId w:val="12"/>
        </w:numPr>
        <w:autoSpaceDE w:val="0"/>
        <w:autoSpaceDN w:val="0"/>
        <w:adjustRightInd w:val="0"/>
        <w:spacing w:before="120" w:after="120"/>
      </w:pPr>
      <w:r w:rsidRPr="008F5D80">
        <w:t>Two web-based applications built on Microsoft’s Visual Studio Framework combined with SQL 2008 R2 databases</w:t>
      </w:r>
    </w:p>
    <w:p w14:paraId="5D264B43" w14:textId="77777777" w:rsidR="00C409CC" w:rsidRPr="0084557F" w:rsidRDefault="00C409CC" w:rsidP="00C409CC">
      <w:pPr>
        <w:pStyle w:val="ListParagraph"/>
        <w:widowControl w:val="0"/>
        <w:numPr>
          <w:ilvl w:val="1"/>
          <w:numId w:val="12"/>
        </w:numPr>
        <w:autoSpaceDE w:val="0"/>
        <w:autoSpaceDN w:val="0"/>
        <w:adjustRightInd w:val="0"/>
        <w:spacing w:before="120" w:after="120"/>
      </w:pPr>
      <w:r w:rsidRPr="008F5D80">
        <w:t>A remote access desktop application that downloads records from EHD into SQL Express tables and synchronizes new inspections with the d</w:t>
      </w:r>
      <w:r w:rsidRPr="005E713C">
        <w:t>ata in the 2008 R2 databases</w:t>
      </w:r>
    </w:p>
    <w:p w14:paraId="21223012" w14:textId="77777777" w:rsidR="00C409CC" w:rsidRPr="0084557F" w:rsidRDefault="00C409CC" w:rsidP="00C409CC">
      <w:pPr>
        <w:pStyle w:val="ListParagraph"/>
        <w:widowControl w:val="0"/>
        <w:numPr>
          <w:ilvl w:val="1"/>
          <w:numId w:val="12"/>
        </w:numPr>
        <w:autoSpaceDE w:val="0"/>
        <w:autoSpaceDN w:val="0"/>
        <w:adjustRightInd w:val="0"/>
        <w:spacing w:before="120" w:after="120"/>
      </w:pPr>
      <w:r w:rsidRPr="008F5D80">
        <w:t>Database and server hosting in a secure environment, with regular data and application backup</w:t>
      </w:r>
    </w:p>
    <w:p w14:paraId="379AD724" w14:textId="77777777" w:rsidR="00C409CC" w:rsidRDefault="00C409CC" w:rsidP="00C409CC">
      <w:pPr>
        <w:pStyle w:val="ListParagraph"/>
        <w:widowControl w:val="0"/>
        <w:numPr>
          <w:ilvl w:val="1"/>
          <w:numId w:val="12"/>
        </w:numPr>
        <w:autoSpaceDE w:val="0"/>
        <w:autoSpaceDN w:val="0"/>
        <w:adjustRightInd w:val="0"/>
        <w:spacing w:before="120" w:after="120"/>
      </w:pPr>
      <w:r w:rsidRPr="008F5D80">
        <w:t>Encrypted user access for internal and external users</w:t>
      </w:r>
    </w:p>
    <w:p w14:paraId="4A3C472F" w14:textId="77777777" w:rsidR="00C409CC" w:rsidRDefault="00C409CC" w:rsidP="00C409CC">
      <w:pPr>
        <w:pStyle w:val="ListParagraph"/>
        <w:widowControl w:val="0"/>
        <w:autoSpaceDE w:val="0"/>
        <w:autoSpaceDN w:val="0"/>
        <w:adjustRightInd w:val="0"/>
        <w:spacing w:before="120" w:after="120"/>
        <w:ind w:left="0"/>
        <w:rPr>
          <w:szCs w:val="22"/>
        </w:rPr>
      </w:pPr>
    </w:p>
    <w:p w14:paraId="0583BE61" w14:textId="2BA723FF" w:rsidR="00C409CC" w:rsidRPr="005B3322" w:rsidRDefault="00C409CC" w:rsidP="00C409CC">
      <w:pPr>
        <w:pStyle w:val="ListParagraph"/>
        <w:widowControl w:val="0"/>
        <w:numPr>
          <w:ilvl w:val="0"/>
          <w:numId w:val="12"/>
        </w:numPr>
        <w:autoSpaceDE w:val="0"/>
        <w:autoSpaceDN w:val="0"/>
        <w:adjustRightInd w:val="0"/>
        <w:spacing w:before="120" w:after="120"/>
        <w:rPr>
          <w:szCs w:val="22"/>
        </w:rPr>
      </w:pPr>
      <w:r w:rsidRPr="008F5D80">
        <w:t>Environmental Health applications employ multiple databases, hundreds of ta</w:t>
      </w:r>
      <w:r w:rsidRPr="005E713C">
        <w:t xml:space="preserve">bles, and </w:t>
      </w:r>
      <w:r w:rsidRPr="008F5D80">
        <w:t xml:space="preserve">millions of records. A percentage of these records may be considered “archival” and could be accessed through special reports. However, millions of records must be immediately available in any new system. </w:t>
      </w:r>
    </w:p>
    <w:p w14:paraId="2A2B3CB9" w14:textId="2F577A63" w:rsidR="00C409CC" w:rsidRPr="00C409CC" w:rsidRDefault="00C409CC" w:rsidP="00C409CC">
      <w:pPr>
        <w:pStyle w:val="ListParagraph"/>
        <w:numPr>
          <w:ilvl w:val="0"/>
          <w:numId w:val="12"/>
        </w:numPr>
        <w:rPr>
          <w:szCs w:val="22"/>
        </w:rPr>
      </w:pPr>
      <w:r w:rsidRPr="008F5D80">
        <w:t>Databases are currently distribute</w:t>
      </w:r>
      <w:r w:rsidRPr="005E713C">
        <w:t>d across several s</w:t>
      </w:r>
      <w:r>
        <w:t xml:space="preserve">ervers, each server running SQL </w:t>
      </w:r>
      <w:r w:rsidRPr="008F5D80">
        <w:t xml:space="preserve">Server 2008 R2. We are upgrading to SQL Server 2016 in </w:t>
      </w:r>
      <w:r w:rsidRPr="005E713C">
        <w:t xml:space="preserve">December 2017, and may be </w:t>
      </w:r>
      <w:r w:rsidRPr="00C409CC">
        <w:rPr>
          <w:szCs w:val="22"/>
        </w:rPr>
        <w:tab/>
      </w:r>
      <w:r w:rsidRPr="008F5D80">
        <w:t xml:space="preserve">working from the cloud in the very near future. Databases were designed on an N-Tiered client/server architecture, with a </w:t>
      </w:r>
      <w:r w:rsidRPr="005E713C">
        <w:t xml:space="preserve">relational database core. The core has never been </w:t>
      </w:r>
      <w:r w:rsidRPr="008F5D80">
        <w:t xml:space="preserve">optimized or completely normalized. Migration from the previous database system had data downloaded from a legacy database application system, then inserted into the T-SQL data table system without data </w:t>
      </w:r>
      <w:r w:rsidRPr="005E713C">
        <w:t xml:space="preserve">validation or duplicate removal. </w:t>
      </w:r>
    </w:p>
    <w:p w14:paraId="71899538" w14:textId="2202575E" w:rsidR="00C409CC" w:rsidRDefault="00C409CC" w:rsidP="00CC5546"/>
    <w:p w14:paraId="4EDE7F99" w14:textId="5A9A39DC" w:rsidR="00C409CC" w:rsidRPr="00C409CC" w:rsidRDefault="00C409CC" w:rsidP="00CC5546">
      <w:pPr>
        <w:rPr>
          <w:i/>
          <w:u w:val="single"/>
        </w:rPr>
      </w:pPr>
      <w:r w:rsidRPr="00C409CC">
        <w:rPr>
          <w:i/>
          <w:u w:val="single"/>
        </w:rPr>
        <w:t>Data</w:t>
      </w:r>
    </w:p>
    <w:p w14:paraId="69AA8449" w14:textId="472AFDF1" w:rsidR="00C409CC" w:rsidRDefault="00C409CC" w:rsidP="00CC5546"/>
    <w:tbl>
      <w:tblPr>
        <w:tblStyle w:val="TableGrid"/>
        <w:tblW w:w="0" w:type="auto"/>
        <w:tblCellMar>
          <w:top w:w="29" w:type="dxa"/>
          <w:left w:w="115" w:type="dxa"/>
          <w:bottom w:w="29" w:type="dxa"/>
          <w:right w:w="115" w:type="dxa"/>
        </w:tblCellMar>
        <w:tblLook w:val="04A0" w:firstRow="1" w:lastRow="0" w:firstColumn="1" w:lastColumn="0" w:noHBand="0" w:noVBand="1"/>
      </w:tblPr>
      <w:tblGrid>
        <w:gridCol w:w="1657"/>
        <w:gridCol w:w="3478"/>
        <w:gridCol w:w="3855"/>
      </w:tblGrid>
      <w:tr w:rsidR="00C409CC" w:rsidRPr="00C409CC" w14:paraId="36368CED" w14:textId="77777777" w:rsidTr="00C409CC">
        <w:trPr>
          <w:cantSplit/>
          <w:tblHeader/>
        </w:trPr>
        <w:tc>
          <w:tcPr>
            <w:tcW w:w="1705"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767171" w:themeFill="background2" w:themeFillShade="80"/>
          </w:tcPr>
          <w:p w14:paraId="5485A8F9" w14:textId="77777777" w:rsidR="00C409CC" w:rsidRPr="00C409CC" w:rsidRDefault="00C409CC" w:rsidP="006E4FF3">
            <w:pPr>
              <w:rPr>
                <w:color w:val="FFFFFF" w:themeColor="background1"/>
                <w:szCs w:val="22"/>
              </w:rPr>
            </w:pPr>
            <w:r w:rsidRPr="00C409CC">
              <w:rPr>
                <w:color w:val="FFFFFF" w:themeColor="background1"/>
              </w:rPr>
              <w:t>Category</w:t>
            </w:r>
          </w:p>
        </w:tc>
        <w:tc>
          <w:tcPr>
            <w:tcW w:w="36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767171" w:themeFill="background2" w:themeFillShade="80"/>
          </w:tcPr>
          <w:p w14:paraId="26B038E4" w14:textId="77777777" w:rsidR="00C409CC" w:rsidRPr="00C409CC" w:rsidRDefault="00C409CC" w:rsidP="006E4FF3">
            <w:pPr>
              <w:rPr>
                <w:color w:val="FFFFFF" w:themeColor="background1"/>
                <w:szCs w:val="22"/>
              </w:rPr>
            </w:pPr>
            <w:r w:rsidRPr="00C409CC">
              <w:rPr>
                <w:color w:val="FFFFFF" w:themeColor="background1"/>
              </w:rPr>
              <w:t>Description</w:t>
            </w:r>
          </w:p>
        </w:tc>
        <w:tc>
          <w:tcPr>
            <w:tcW w:w="4045"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767171" w:themeFill="background2" w:themeFillShade="80"/>
          </w:tcPr>
          <w:p w14:paraId="518353E6" w14:textId="77777777" w:rsidR="00C409CC" w:rsidRPr="00C409CC" w:rsidRDefault="00C409CC" w:rsidP="006E4FF3">
            <w:pPr>
              <w:rPr>
                <w:color w:val="FFFFFF" w:themeColor="background1"/>
                <w:szCs w:val="22"/>
              </w:rPr>
            </w:pPr>
            <w:r w:rsidRPr="00C409CC">
              <w:rPr>
                <w:color w:val="FFFFFF" w:themeColor="background1"/>
              </w:rPr>
              <w:t>Conversion Requirements</w:t>
            </w:r>
          </w:p>
        </w:tc>
      </w:tr>
      <w:tr w:rsidR="00C409CC" w:rsidRPr="0084557F" w14:paraId="1C83BF69" w14:textId="77777777" w:rsidTr="00C409CC">
        <w:trPr>
          <w:cantSplit/>
        </w:trPr>
        <w:tc>
          <w:tcPr>
            <w:tcW w:w="1705" w:type="dxa"/>
            <w:tcBorders>
              <w:top w:val="single" w:sz="4" w:space="0" w:color="767171" w:themeColor="background2" w:themeShade="80"/>
            </w:tcBorders>
          </w:tcPr>
          <w:p w14:paraId="65C928ED" w14:textId="77777777" w:rsidR="00C409CC" w:rsidRPr="0084557F" w:rsidRDefault="00C409CC" w:rsidP="006E4FF3">
            <w:pPr>
              <w:rPr>
                <w:szCs w:val="22"/>
              </w:rPr>
            </w:pPr>
            <w:r w:rsidRPr="008F5D80">
              <w:t>Active data</w:t>
            </w:r>
          </w:p>
        </w:tc>
        <w:tc>
          <w:tcPr>
            <w:tcW w:w="3600" w:type="dxa"/>
            <w:tcBorders>
              <w:top w:val="single" w:sz="4" w:space="0" w:color="767171" w:themeColor="background2" w:themeShade="80"/>
            </w:tcBorders>
          </w:tcPr>
          <w:p w14:paraId="7133FB37" w14:textId="77777777" w:rsidR="00C409CC" w:rsidRPr="0084557F" w:rsidRDefault="00C409CC" w:rsidP="006E4FF3">
            <w:pPr>
              <w:rPr>
                <w:szCs w:val="22"/>
              </w:rPr>
            </w:pPr>
            <w:r w:rsidRPr="008F5D80">
              <w:t xml:space="preserve">Records used daily, active entities and the actions taken on the entities. </w:t>
            </w:r>
          </w:p>
        </w:tc>
        <w:tc>
          <w:tcPr>
            <w:tcW w:w="4045" w:type="dxa"/>
            <w:tcBorders>
              <w:top w:val="single" w:sz="4" w:space="0" w:color="767171" w:themeColor="background2" w:themeShade="80"/>
            </w:tcBorders>
          </w:tcPr>
          <w:p w14:paraId="72395521" w14:textId="77777777" w:rsidR="00C409CC" w:rsidRPr="0084557F" w:rsidRDefault="00C409CC" w:rsidP="006E4FF3">
            <w:pPr>
              <w:rPr>
                <w:szCs w:val="22"/>
              </w:rPr>
            </w:pPr>
            <w:r w:rsidRPr="008F5D80">
              <w:t xml:space="preserve">All active data </w:t>
            </w:r>
            <w:r w:rsidRPr="005E713C">
              <w:t>shall be converted for immediate use.</w:t>
            </w:r>
          </w:p>
        </w:tc>
      </w:tr>
      <w:tr w:rsidR="00C409CC" w:rsidRPr="0084557F" w14:paraId="35FAA77E" w14:textId="77777777" w:rsidTr="00C409CC">
        <w:trPr>
          <w:cantSplit/>
        </w:trPr>
        <w:tc>
          <w:tcPr>
            <w:tcW w:w="1705" w:type="dxa"/>
          </w:tcPr>
          <w:p w14:paraId="0552F2B2" w14:textId="77777777" w:rsidR="00C409CC" w:rsidRPr="0084557F" w:rsidRDefault="00C409CC" w:rsidP="006E4FF3">
            <w:pPr>
              <w:rPr>
                <w:szCs w:val="22"/>
              </w:rPr>
            </w:pPr>
            <w:r w:rsidRPr="008F5D80">
              <w:t>Historical data</w:t>
            </w:r>
          </w:p>
        </w:tc>
        <w:tc>
          <w:tcPr>
            <w:tcW w:w="3600" w:type="dxa"/>
          </w:tcPr>
          <w:p w14:paraId="5A353815" w14:textId="77777777" w:rsidR="00C409CC" w:rsidRPr="0084557F" w:rsidRDefault="00C409CC" w:rsidP="006E4FF3">
            <w:pPr>
              <w:rPr>
                <w:szCs w:val="22"/>
              </w:rPr>
            </w:pPr>
            <w:r w:rsidRPr="008F5D80">
              <w:t xml:space="preserve">Data related to non-active or closed entities with any changes to entities or inspections at least two (2) years in the past. </w:t>
            </w:r>
          </w:p>
        </w:tc>
        <w:tc>
          <w:tcPr>
            <w:tcW w:w="4045" w:type="dxa"/>
          </w:tcPr>
          <w:p w14:paraId="46B557EB" w14:textId="77777777" w:rsidR="00C409CC" w:rsidRPr="0084557F" w:rsidRDefault="00C409CC" w:rsidP="006E4FF3">
            <w:pPr>
              <w:rPr>
                <w:szCs w:val="22"/>
              </w:rPr>
            </w:pPr>
            <w:r w:rsidRPr="008F5D80">
              <w:t>Historical, older data must still be available to system users. Entity-rel</w:t>
            </w:r>
            <w:r w:rsidRPr="005E713C">
              <w:t xml:space="preserve">ated records are considered "active" if they have been modified within the last two years. </w:t>
            </w:r>
          </w:p>
        </w:tc>
      </w:tr>
      <w:tr w:rsidR="00C409CC" w:rsidRPr="0084557F" w14:paraId="1D756048" w14:textId="77777777" w:rsidTr="00C409CC">
        <w:trPr>
          <w:cantSplit/>
        </w:trPr>
        <w:tc>
          <w:tcPr>
            <w:tcW w:w="1705" w:type="dxa"/>
          </w:tcPr>
          <w:p w14:paraId="6BF84D6F" w14:textId="77777777" w:rsidR="00C409CC" w:rsidRPr="0084557F" w:rsidRDefault="00C409CC" w:rsidP="006E4FF3">
            <w:pPr>
              <w:rPr>
                <w:szCs w:val="22"/>
              </w:rPr>
            </w:pPr>
            <w:r w:rsidRPr="008F5D80">
              <w:lastRenderedPageBreak/>
              <w:t>Support data</w:t>
            </w:r>
          </w:p>
        </w:tc>
        <w:tc>
          <w:tcPr>
            <w:tcW w:w="3600" w:type="dxa"/>
          </w:tcPr>
          <w:p w14:paraId="2FBF9229" w14:textId="77777777" w:rsidR="00C409CC" w:rsidRPr="0084557F" w:rsidRDefault="00C409CC" w:rsidP="006E4FF3">
            <w:pPr>
              <w:rPr>
                <w:szCs w:val="22"/>
              </w:rPr>
            </w:pPr>
            <w:r w:rsidRPr="008F5D80">
              <w:t xml:space="preserve">Tables maintaining data to generate on-screen forms and printable reports. The tables include, but are not limited to, code tables, restricted lists, </w:t>
            </w:r>
            <w:r w:rsidRPr="005E713C">
              <w:t xml:space="preserve">baseline information, and statewide and county-specific details. </w:t>
            </w:r>
          </w:p>
        </w:tc>
        <w:tc>
          <w:tcPr>
            <w:tcW w:w="4045" w:type="dxa"/>
          </w:tcPr>
          <w:p w14:paraId="63570C07" w14:textId="77777777" w:rsidR="00C409CC" w:rsidRPr="0084557F" w:rsidRDefault="00C409CC" w:rsidP="006E4FF3">
            <w:pPr>
              <w:rPr>
                <w:szCs w:val="22"/>
              </w:rPr>
            </w:pPr>
            <w:r w:rsidRPr="008F5D80">
              <w:t>Many records have an “end-of-life” date marking the record obsolete. Current software cannot use these records for new entries; obsolete data must be available for reports and screens replic</w:t>
            </w:r>
            <w:r w:rsidRPr="005E713C">
              <w:t xml:space="preserve">ated based on specific detail(s) to retain historical data. </w:t>
            </w:r>
          </w:p>
        </w:tc>
      </w:tr>
      <w:tr w:rsidR="00C409CC" w:rsidRPr="0084557F" w14:paraId="5CB49AEF" w14:textId="77777777" w:rsidTr="00C409CC">
        <w:trPr>
          <w:cantSplit/>
        </w:trPr>
        <w:tc>
          <w:tcPr>
            <w:tcW w:w="1705" w:type="dxa"/>
          </w:tcPr>
          <w:p w14:paraId="3AFB67AC" w14:textId="77777777" w:rsidR="00C409CC" w:rsidRPr="0084557F" w:rsidRDefault="00C409CC" w:rsidP="006E4FF3">
            <w:pPr>
              <w:rPr>
                <w:szCs w:val="22"/>
              </w:rPr>
            </w:pPr>
            <w:r w:rsidRPr="008F5D80">
              <w:t xml:space="preserve">Audit Trails </w:t>
            </w:r>
          </w:p>
        </w:tc>
        <w:tc>
          <w:tcPr>
            <w:tcW w:w="3600" w:type="dxa"/>
          </w:tcPr>
          <w:p w14:paraId="59C51031" w14:textId="77777777" w:rsidR="00C409CC" w:rsidRPr="0084557F" w:rsidRDefault="00C409CC" w:rsidP="006E4FF3">
            <w:pPr>
              <w:rPr>
                <w:szCs w:val="22"/>
              </w:rPr>
            </w:pPr>
            <w:r w:rsidRPr="008F5D80">
              <w:t xml:space="preserve">Tables logging every change made to a record. Financial audit tables are required by State directive and exist in a separate database. Other records may be audited according to recommendation(s) from the Auditor General. </w:t>
            </w:r>
          </w:p>
        </w:tc>
        <w:tc>
          <w:tcPr>
            <w:tcW w:w="4045" w:type="dxa"/>
          </w:tcPr>
          <w:p w14:paraId="780B186A" w14:textId="77777777" w:rsidR="00C409CC" w:rsidRPr="0084557F" w:rsidRDefault="00C409CC" w:rsidP="006E4FF3">
            <w:pPr>
              <w:rPr>
                <w:szCs w:val="22"/>
              </w:rPr>
            </w:pPr>
            <w:r w:rsidRPr="008F5D80">
              <w:t>Tracing or tracking such informati</w:t>
            </w:r>
            <w:r w:rsidRPr="005E713C">
              <w:t>on is required. Records created during a specified period must be made accessible to Central Office staff. Data generated before the specified period may be retrieved through reports.</w:t>
            </w:r>
          </w:p>
        </w:tc>
      </w:tr>
      <w:tr w:rsidR="00C409CC" w:rsidRPr="0084557F" w14:paraId="5640FDCC" w14:textId="77777777" w:rsidTr="00C409CC">
        <w:trPr>
          <w:cantSplit/>
        </w:trPr>
        <w:tc>
          <w:tcPr>
            <w:tcW w:w="1705" w:type="dxa"/>
          </w:tcPr>
          <w:p w14:paraId="17A8A98E" w14:textId="77777777" w:rsidR="00C409CC" w:rsidRPr="0084557F" w:rsidRDefault="00C409CC" w:rsidP="006E4FF3">
            <w:pPr>
              <w:rPr>
                <w:szCs w:val="22"/>
              </w:rPr>
            </w:pPr>
            <w:r w:rsidRPr="008F5D80">
              <w:t>Report data</w:t>
            </w:r>
          </w:p>
        </w:tc>
        <w:tc>
          <w:tcPr>
            <w:tcW w:w="3600" w:type="dxa"/>
          </w:tcPr>
          <w:p w14:paraId="3C7D6130" w14:textId="77777777" w:rsidR="00C409CC" w:rsidRPr="0084557F" w:rsidRDefault="00C409CC" w:rsidP="006E4FF3">
            <w:pPr>
              <w:rPr>
                <w:szCs w:val="22"/>
              </w:rPr>
            </w:pPr>
            <w:r w:rsidRPr="008F5D80">
              <w:t>Flattened and expanded data used to generate reports quickl</w:t>
            </w:r>
            <w:r w:rsidRPr="005E713C">
              <w:t xml:space="preserve">y and allow for user-built reports. </w:t>
            </w:r>
          </w:p>
        </w:tc>
        <w:tc>
          <w:tcPr>
            <w:tcW w:w="4045" w:type="dxa"/>
          </w:tcPr>
          <w:p w14:paraId="3106358C" w14:textId="77777777" w:rsidR="00C409CC" w:rsidRPr="0084557F" w:rsidRDefault="00C409CC" w:rsidP="006E4FF3">
            <w:pPr>
              <w:rPr>
                <w:szCs w:val="22"/>
              </w:rPr>
            </w:pPr>
            <w:r w:rsidRPr="008F5D80">
              <w:t>Respondent</w:t>
            </w:r>
            <w:r w:rsidRPr="005E713C">
              <w:t xml:space="preserve"> shall determine best method to provide report data to minimize generation time and meet requirements for throughput in a user-accessible format.</w:t>
            </w:r>
          </w:p>
        </w:tc>
      </w:tr>
    </w:tbl>
    <w:p w14:paraId="575CDE5E" w14:textId="7CD5375F" w:rsidR="00C409CC" w:rsidRDefault="00C409CC" w:rsidP="00CC5546"/>
    <w:p w14:paraId="0A8F697F" w14:textId="77777777" w:rsidR="00C409CC" w:rsidRDefault="00C409CC" w:rsidP="00C409CC">
      <w:pPr>
        <w:rPr>
          <w:szCs w:val="22"/>
        </w:rPr>
      </w:pPr>
      <w:r w:rsidRPr="008F5D80">
        <w:t>In addition to SQL tables, there are more than 2 million data</w:t>
      </w:r>
      <w:r w:rsidRPr="005E713C">
        <w:t xml:space="preserve"> files generated by the system or attached to entities.  Such relationship(s) must be maintained. Files may include, but are not limited to, Word documents, photographs, blueprints, and PDFs. Such data files may not require “conversion”, but the records must be retrievable.</w:t>
      </w:r>
    </w:p>
    <w:p w14:paraId="3ACEE615" w14:textId="1EBA7C12" w:rsidR="00C409CC" w:rsidRDefault="00C409CC" w:rsidP="00C409CC">
      <w:pPr>
        <w:rPr>
          <w:szCs w:val="22"/>
        </w:rPr>
      </w:pPr>
    </w:p>
    <w:p w14:paraId="7D093075" w14:textId="347C782F" w:rsidR="003A61F4" w:rsidRPr="003A61F4" w:rsidRDefault="003A61F4" w:rsidP="003A61F4">
      <w:pPr>
        <w:autoSpaceDE w:val="0"/>
        <w:autoSpaceDN w:val="0"/>
        <w:adjustRightInd w:val="0"/>
        <w:jc w:val="both"/>
        <w:rPr>
          <w:i/>
          <w:u w:val="single"/>
        </w:rPr>
      </w:pPr>
      <w:bookmarkStart w:id="1" w:name="_Hlk505849425"/>
      <w:r w:rsidRPr="003A61F4">
        <w:rPr>
          <w:i/>
          <w:u w:val="single"/>
        </w:rPr>
        <w:t>Data Sharing</w:t>
      </w:r>
    </w:p>
    <w:p w14:paraId="663E4429" w14:textId="77777777" w:rsidR="003A61F4" w:rsidRDefault="003A61F4" w:rsidP="003A61F4">
      <w:pPr>
        <w:autoSpaceDE w:val="0"/>
        <w:autoSpaceDN w:val="0"/>
        <w:adjustRightInd w:val="0"/>
        <w:jc w:val="both"/>
      </w:pPr>
    </w:p>
    <w:p w14:paraId="0A8DC5F6" w14:textId="1FAF8FCE" w:rsidR="003A61F4" w:rsidRPr="00DE1375" w:rsidRDefault="003A61F4" w:rsidP="003A61F4">
      <w:pPr>
        <w:autoSpaceDE w:val="0"/>
        <w:autoSpaceDN w:val="0"/>
        <w:adjustRightInd w:val="0"/>
        <w:jc w:val="both"/>
      </w:pPr>
      <w:r>
        <w:t xml:space="preserve">The Bureau of Environmental Health, through the EHD system, shares data with other agencies and the public. Some data is made available on a regularly scheduled basis while other data sets are created ad hoc. The list below contains some of these interactions: </w:t>
      </w:r>
    </w:p>
    <w:p w14:paraId="7BF02716" w14:textId="77777777" w:rsidR="003A61F4" w:rsidRPr="00DE1375" w:rsidRDefault="003A61F4" w:rsidP="003A61F4">
      <w:pPr>
        <w:autoSpaceDE w:val="0"/>
        <w:autoSpaceDN w:val="0"/>
        <w:adjustRightInd w:val="0"/>
        <w:ind w:left="2160"/>
        <w:jc w:val="both"/>
      </w:pPr>
    </w:p>
    <w:p w14:paraId="47186416" w14:textId="77777777" w:rsidR="003A61F4" w:rsidRDefault="003A61F4" w:rsidP="003A61F4">
      <w:pPr>
        <w:pStyle w:val="ListParagraph"/>
        <w:numPr>
          <w:ilvl w:val="0"/>
          <w:numId w:val="3"/>
        </w:numPr>
        <w:autoSpaceDE w:val="0"/>
        <w:autoSpaceDN w:val="0"/>
        <w:adjustRightInd w:val="0"/>
        <w:jc w:val="both"/>
      </w:pPr>
      <w:r w:rsidRPr="00DE1375">
        <w:t>Department of Environmental Prote</w:t>
      </w:r>
      <w:r>
        <w:t>ction – GIS related information</w:t>
      </w:r>
    </w:p>
    <w:p w14:paraId="0DC48BD1" w14:textId="77777777" w:rsidR="003A61F4" w:rsidRDefault="003A61F4" w:rsidP="003A61F4">
      <w:pPr>
        <w:pStyle w:val="ListParagraph"/>
        <w:numPr>
          <w:ilvl w:val="0"/>
          <w:numId w:val="3"/>
        </w:numPr>
        <w:autoSpaceDE w:val="0"/>
        <w:autoSpaceDN w:val="0"/>
        <w:adjustRightInd w:val="0"/>
        <w:jc w:val="both"/>
      </w:pPr>
      <w:r w:rsidRPr="00DE1375">
        <w:t>Department of Children and Families – DAR inf</w:t>
      </w:r>
      <w:r>
        <w:t>ormation reporting and transfer</w:t>
      </w:r>
    </w:p>
    <w:p w14:paraId="48349303" w14:textId="77777777" w:rsidR="003A61F4" w:rsidRDefault="003A61F4" w:rsidP="003A61F4">
      <w:pPr>
        <w:pStyle w:val="ListParagraph"/>
        <w:numPr>
          <w:ilvl w:val="0"/>
          <w:numId w:val="3"/>
        </w:numPr>
        <w:autoSpaceDE w:val="0"/>
        <w:autoSpaceDN w:val="0"/>
        <w:adjustRightInd w:val="0"/>
        <w:jc w:val="both"/>
      </w:pPr>
      <w:r w:rsidRPr="00DE1375">
        <w:t>Department of Transport</w:t>
      </w:r>
      <w:r>
        <w:t>ation – GIS related information</w:t>
      </w:r>
    </w:p>
    <w:p w14:paraId="23F8BBE0" w14:textId="77777777" w:rsidR="003A61F4" w:rsidRDefault="003A61F4" w:rsidP="003A61F4">
      <w:pPr>
        <w:pStyle w:val="ListParagraph"/>
        <w:numPr>
          <w:ilvl w:val="0"/>
          <w:numId w:val="3"/>
        </w:numPr>
        <w:autoSpaceDE w:val="0"/>
        <w:autoSpaceDN w:val="0"/>
        <w:adjustRightInd w:val="0"/>
        <w:jc w:val="both"/>
      </w:pPr>
      <w:r w:rsidRPr="00DE1375">
        <w:t>Department of Education – Major Universities (cooperative pr</w:t>
      </w:r>
      <w:r>
        <w:t>ograms and information sharing)</w:t>
      </w:r>
    </w:p>
    <w:p w14:paraId="184C356D" w14:textId="77777777" w:rsidR="003A61F4" w:rsidRDefault="003A61F4" w:rsidP="003A61F4">
      <w:pPr>
        <w:pStyle w:val="ListParagraph"/>
        <w:numPr>
          <w:ilvl w:val="0"/>
          <w:numId w:val="3"/>
        </w:numPr>
        <w:autoSpaceDE w:val="0"/>
        <w:autoSpaceDN w:val="0"/>
        <w:adjustRightInd w:val="0"/>
        <w:jc w:val="both"/>
      </w:pPr>
      <w:r w:rsidRPr="00DE1375">
        <w:t>Department of Agriculture and Consumer Servi</w:t>
      </w:r>
      <w:r>
        <w:t>ces – GIS related information</w:t>
      </w:r>
    </w:p>
    <w:p w14:paraId="3EAA6127" w14:textId="77777777" w:rsidR="003A61F4" w:rsidRDefault="003A61F4" w:rsidP="003A61F4">
      <w:pPr>
        <w:pStyle w:val="ListParagraph"/>
        <w:numPr>
          <w:ilvl w:val="0"/>
          <w:numId w:val="3"/>
        </w:numPr>
        <w:autoSpaceDE w:val="0"/>
        <w:autoSpaceDN w:val="0"/>
        <w:adjustRightInd w:val="0"/>
        <w:jc w:val="both"/>
      </w:pPr>
      <w:r w:rsidRPr="00DE1375">
        <w:t>Department of Management Services – Time Direct da</w:t>
      </w:r>
      <w:r>
        <w:t>ta transfer of time information</w:t>
      </w:r>
    </w:p>
    <w:p w14:paraId="295DE4BE" w14:textId="77777777" w:rsidR="003A61F4" w:rsidRDefault="003A61F4" w:rsidP="003A61F4">
      <w:pPr>
        <w:pStyle w:val="ListParagraph"/>
        <w:numPr>
          <w:ilvl w:val="0"/>
          <w:numId w:val="3"/>
        </w:numPr>
        <w:autoSpaceDE w:val="0"/>
        <w:autoSpaceDN w:val="0"/>
        <w:adjustRightInd w:val="0"/>
        <w:jc w:val="both"/>
      </w:pPr>
      <w:r>
        <w:t>Inspection results for all programs are posted to a searchable web site for citizens to research</w:t>
      </w:r>
    </w:p>
    <w:p w14:paraId="121D231F" w14:textId="77777777" w:rsidR="003A61F4" w:rsidRDefault="003A61F4" w:rsidP="003A61F4">
      <w:pPr>
        <w:pStyle w:val="ListParagraph"/>
        <w:numPr>
          <w:ilvl w:val="0"/>
          <w:numId w:val="3"/>
        </w:numPr>
        <w:autoSpaceDE w:val="0"/>
        <w:autoSpaceDN w:val="0"/>
        <w:adjustRightInd w:val="0"/>
        <w:jc w:val="both"/>
      </w:pPr>
      <w:r>
        <w:t>Payment transaction data is received from the Florida Accounting Information Resource (FLAIR) system and distribution codes are sent to FLAIR</w:t>
      </w:r>
    </w:p>
    <w:p w14:paraId="27BA6BBF" w14:textId="77777777" w:rsidR="0007573B" w:rsidRDefault="0007573B" w:rsidP="0007573B">
      <w:pPr>
        <w:tabs>
          <w:tab w:val="left" w:pos="1290"/>
        </w:tabs>
        <w:jc w:val="both"/>
        <w:rPr>
          <w:szCs w:val="22"/>
        </w:rPr>
      </w:pPr>
    </w:p>
    <w:p w14:paraId="78E76C77" w14:textId="77777777" w:rsidR="0007573B" w:rsidRDefault="0007573B">
      <w:pPr>
        <w:spacing w:after="160" w:line="259" w:lineRule="auto"/>
        <w:rPr>
          <w:szCs w:val="22"/>
        </w:rPr>
      </w:pPr>
      <w:r>
        <w:rPr>
          <w:szCs w:val="22"/>
        </w:rPr>
        <w:br w:type="page"/>
      </w:r>
    </w:p>
    <w:p w14:paraId="5A222AD4" w14:textId="583B1B2F" w:rsidR="003A61F4" w:rsidRPr="003A61F4" w:rsidRDefault="003A61F4" w:rsidP="0007573B">
      <w:pPr>
        <w:tabs>
          <w:tab w:val="left" w:pos="1290"/>
        </w:tabs>
        <w:jc w:val="both"/>
        <w:rPr>
          <w:i/>
          <w:u w:val="single"/>
        </w:rPr>
      </w:pPr>
      <w:r w:rsidRPr="003A61F4">
        <w:rPr>
          <w:i/>
          <w:u w:val="single"/>
        </w:rPr>
        <w:lastRenderedPageBreak/>
        <w:t>Data Record Counts</w:t>
      </w:r>
    </w:p>
    <w:p w14:paraId="79D41AC2" w14:textId="77777777" w:rsidR="003A61F4" w:rsidRDefault="003A61F4" w:rsidP="0007573B">
      <w:pPr>
        <w:tabs>
          <w:tab w:val="left" w:pos="1290"/>
        </w:tabs>
        <w:jc w:val="both"/>
      </w:pPr>
    </w:p>
    <w:p w14:paraId="263F2ABF" w14:textId="4CD9C9DE" w:rsidR="0007573B" w:rsidRDefault="0007573B" w:rsidP="0007573B">
      <w:pPr>
        <w:tabs>
          <w:tab w:val="left" w:pos="1290"/>
        </w:tabs>
        <w:jc w:val="both"/>
        <w:rPr>
          <w:rFonts w:cs="Arial"/>
        </w:rPr>
      </w:pPr>
      <w:r>
        <w:t>The following chart contains counts taken as a snapshot of the data as of September 1, 2017, and rounded to the nearest thousand. The counts were taken from primary data files and do not include the support tables that supply the building blocks of the forms or the relationship tables that link records to each other</w:t>
      </w:r>
      <w:bookmarkEnd w:id="1"/>
      <w:r>
        <w:t>.</w:t>
      </w:r>
    </w:p>
    <w:p w14:paraId="6057B89A" w14:textId="77777777" w:rsidR="0007573B" w:rsidRDefault="0007573B" w:rsidP="0007573B">
      <w:pPr>
        <w:tabs>
          <w:tab w:val="left" w:pos="1290"/>
        </w:tabs>
        <w:ind w:left="1290"/>
        <w:rPr>
          <w:rFonts w:cs="Arial"/>
        </w:rPr>
      </w:pPr>
    </w:p>
    <w:p w14:paraId="2051D645" w14:textId="77777777" w:rsidR="0007573B" w:rsidRDefault="0007573B" w:rsidP="0007573B">
      <w:pPr>
        <w:rPr>
          <w:rFonts w:cs="Arial"/>
        </w:rPr>
      </w:pPr>
    </w:p>
    <w:tbl>
      <w:tblPr>
        <w:tblW w:w="9455" w:type="dxa"/>
        <w:tblInd w:w="-5" w:type="dxa"/>
        <w:tblLook w:val="04A0" w:firstRow="1" w:lastRow="0" w:firstColumn="1" w:lastColumn="0" w:noHBand="0" w:noVBand="1"/>
      </w:tblPr>
      <w:tblGrid>
        <w:gridCol w:w="2884"/>
        <w:gridCol w:w="990"/>
        <w:gridCol w:w="1080"/>
        <w:gridCol w:w="1080"/>
        <w:gridCol w:w="1351"/>
        <w:gridCol w:w="1080"/>
        <w:gridCol w:w="990"/>
      </w:tblGrid>
      <w:tr w:rsidR="0007573B" w:rsidRPr="00471310" w14:paraId="208B0D36" w14:textId="77777777" w:rsidTr="006E4FF3">
        <w:trPr>
          <w:trHeight w:val="480"/>
        </w:trPr>
        <w:tc>
          <w:tcPr>
            <w:tcW w:w="2884" w:type="dxa"/>
            <w:tcBorders>
              <w:bottom w:val="single" w:sz="4" w:space="0" w:color="auto"/>
              <w:right w:val="single" w:sz="4" w:space="0" w:color="auto"/>
            </w:tcBorders>
            <w:shd w:val="clear" w:color="000000" w:fill="auto"/>
            <w:vAlign w:val="center"/>
          </w:tcPr>
          <w:p w14:paraId="7E95E53C" w14:textId="77777777" w:rsidR="0007573B" w:rsidRDefault="0007573B" w:rsidP="006E4FF3">
            <w:pPr>
              <w:rPr>
                <w:rFonts w:ascii="Calibri" w:hAnsi="Calibri" w:cs="Calibri"/>
                <w:b/>
                <w:bCs/>
                <w:color w:val="000000"/>
                <w:sz w:val="28"/>
                <w:szCs w:val="28"/>
              </w:rPr>
            </w:pPr>
            <w:bookmarkStart w:id="2" w:name="_Hlk505850436"/>
          </w:p>
        </w:tc>
        <w:tc>
          <w:tcPr>
            <w:tcW w:w="6571" w:type="dxa"/>
            <w:gridSpan w:val="6"/>
            <w:tcBorders>
              <w:top w:val="single" w:sz="4" w:space="0" w:color="auto"/>
              <w:left w:val="nil"/>
              <w:bottom w:val="single" w:sz="4" w:space="0" w:color="auto"/>
              <w:right w:val="single" w:sz="4" w:space="0" w:color="auto"/>
            </w:tcBorders>
            <w:shd w:val="clear" w:color="000000" w:fill="DDEBF7"/>
            <w:noWrap/>
            <w:vAlign w:val="center"/>
          </w:tcPr>
          <w:p w14:paraId="57883CA3" w14:textId="77777777" w:rsidR="0007573B" w:rsidRPr="00471310" w:rsidRDefault="0007573B" w:rsidP="006E4FF3">
            <w:pPr>
              <w:jc w:val="center"/>
              <w:rPr>
                <w:rFonts w:ascii="Calibri" w:hAnsi="Calibri" w:cs="Calibri"/>
                <w:b/>
                <w:bCs/>
                <w:color w:val="000000"/>
                <w:sz w:val="24"/>
                <w:szCs w:val="24"/>
              </w:rPr>
            </w:pPr>
            <w:r>
              <w:rPr>
                <w:rFonts w:ascii="Calibri" w:hAnsi="Calibri" w:cs="Calibri"/>
                <w:b/>
                <w:bCs/>
                <w:color w:val="000000"/>
                <w:sz w:val="24"/>
                <w:szCs w:val="24"/>
              </w:rPr>
              <w:t>Record Count in Thousands</w:t>
            </w:r>
          </w:p>
        </w:tc>
      </w:tr>
      <w:tr w:rsidR="0007573B" w:rsidRPr="00471310" w14:paraId="33B38AF1" w14:textId="77777777" w:rsidTr="006E4FF3">
        <w:trPr>
          <w:trHeight w:val="480"/>
        </w:trPr>
        <w:tc>
          <w:tcPr>
            <w:tcW w:w="2884"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1869BD9" w14:textId="77777777" w:rsidR="0007573B" w:rsidRPr="00471310" w:rsidRDefault="0007573B" w:rsidP="006E4FF3">
            <w:pPr>
              <w:rPr>
                <w:rFonts w:ascii="Calibri" w:hAnsi="Calibri" w:cs="Calibri"/>
                <w:b/>
                <w:bCs/>
                <w:color w:val="000000"/>
                <w:sz w:val="28"/>
                <w:szCs w:val="28"/>
              </w:rPr>
            </w:pPr>
            <w:bookmarkStart w:id="3" w:name="_Hlk505849564" w:colFirst="1" w:colLast="6"/>
            <w:r w:rsidRPr="00471310">
              <w:rPr>
                <w:rFonts w:ascii="Calibri" w:hAnsi="Calibri" w:cs="Calibri"/>
                <w:b/>
                <w:bCs/>
                <w:color w:val="000000"/>
                <w:sz w:val="28"/>
                <w:szCs w:val="28"/>
              </w:rPr>
              <w:t>Program</w:t>
            </w:r>
          </w:p>
        </w:tc>
        <w:tc>
          <w:tcPr>
            <w:tcW w:w="990" w:type="dxa"/>
            <w:tcBorders>
              <w:top w:val="single" w:sz="4" w:space="0" w:color="auto"/>
              <w:left w:val="nil"/>
              <w:bottom w:val="single" w:sz="4" w:space="0" w:color="auto"/>
              <w:right w:val="single" w:sz="4" w:space="0" w:color="auto"/>
            </w:tcBorders>
            <w:shd w:val="clear" w:color="000000" w:fill="DDEBF7"/>
            <w:noWrap/>
            <w:vAlign w:val="center"/>
            <w:hideMark/>
          </w:tcPr>
          <w:p w14:paraId="74159564" w14:textId="77777777" w:rsidR="0007573B" w:rsidRPr="00471310" w:rsidRDefault="0007573B" w:rsidP="006E4FF3">
            <w:pPr>
              <w:jc w:val="right"/>
              <w:rPr>
                <w:rFonts w:ascii="Calibri" w:hAnsi="Calibri" w:cs="Calibri"/>
                <w:b/>
                <w:bCs/>
                <w:color w:val="000000"/>
                <w:sz w:val="24"/>
                <w:szCs w:val="24"/>
              </w:rPr>
            </w:pPr>
            <w:r w:rsidRPr="00471310">
              <w:rPr>
                <w:rFonts w:ascii="Calibri" w:hAnsi="Calibri" w:cs="Calibri"/>
                <w:b/>
                <w:bCs/>
                <w:color w:val="000000"/>
                <w:sz w:val="24"/>
                <w:szCs w:val="24"/>
              </w:rPr>
              <w:t>Entities</w:t>
            </w:r>
          </w:p>
        </w:tc>
        <w:tc>
          <w:tcPr>
            <w:tcW w:w="1080" w:type="dxa"/>
            <w:tcBorders>
              <w:top w:val="single" w:sz="4" w:space="0" w:color="auto"/>
              <w:left w:val="nil"/>
              <w:bottom w:val="single" w:sz="4" w:space="0" w:color="auto"/>
              <w:right w:val="single" w:sz="4" w:space="0" w:color="auto"/>
            </w:tcBorders>
            <w:shd w:val="clear" w:color="000000" w:fill="DDEBF7"/>
            <w:noWrap/>
            <w:vAlign w:val="center"/>
            <w:hideMark/>
          </w:tcPr>
          <w:p w14:paraId="7B111B0E" w14:textId="77777777" w:rsidR="0007573B" w:rsidRPr="00471310" w:rsidRDefault="0007573B" w:rsidP="006E4FF3">
            <w:pPr>
              <w:jc w:val="right"/>
              <w:rPr>
                <w:rFonts w:ascii="Calibri" w:hAnsi="Calibri" w:cs="Calibri"/>
                <w:b/>
                <w:bCs/>
                <w:color w:val="000000"/>
                <w:sz w:val="24"/>
                <w:szCs w:val="24"/>
              </w:rPr>
            </w:pPr>
            <w:r w:rsidRPr="00471310">
              <w:rPr>
                <w:rFonts w:ascii="Calibri" w:hAnsi="Calibri" w:cs="Calibri"/>
                <w:b/>
                <w:bCs/>
                <w:color w:val="000000"/>
                <w:sz w:val="24"/>
                <w:szCs w:val="24"/>
              </w:rPr>
              <w:t>History</w:t>
            </w:r>
          </w:p>
        </w:tc>
        <w:tc>
          <w:tcPr>
            <w:tcW w:w="1080" w:type="dxa"/>
            <w:tcBorders>
              <w:top w:val="single" w:sz="4" w:space="0" w:color="auto"/>
              <w:left w:val="nil"/>
              <w:bottom w:val="single" w:sz="4" w:space="0" w:color="auto"/>
              <w:right w:val="single" w:sz="4" w:space="0" w:color="auto"/>
            </w:tcBorders>
            <w:shd w:val="clear" w:color="000000" w:fill="DDEBF7"/>
            <w:noWrap/>
            <w:vAlign w:val="center"/>
            <w:hideMark/>
          </w:tcPr>
          <w:p w14:paraId="5A47E07F" w14:textId="77777777" w:rsidR="0007573B" w:rsidRPr="00471310" w:rsidRDefault="0007573B" w:rsidP="006E4FF3">
            <w:pPr>
              <w:jc w:val="right"/>
              <w:rPr>
                <w:rFonts w:ascii="Calibri" w:hAnsi="Calibri" w:cs="Calibri"/>
                <w:b/>
                <w:bCs/>
                <w:color w:val="000000"/>
                <w:sz w:val="24"/>
                <w:szCs w:val="24"/>
              </w:rPr>
            </w:pPr>
            <w:r w:rsidRPr="00471310">
              <w:rPr>
                <w:rFonts w:ascii="Calibri" w:hAnsi="Calibri" w:cs="Calibri"/>
                <w:b/>
                <w:bCs/>
                <w:color w:val="000000"/>
                <w:sz w:val="24"/>
                <w:szCs w:val="24"/>
              </w:rPr>
              <w:t>Billing</w:t>
            </w:r>
          </w:p>
        </w:tc>
        <w:tc>
          <w:tcPr>
            <w:tcW w:w="1351" w:type="dxa"/>
            <w:tcBorders>
              <w:top w:val="single" w:sz="4" w:space="0" w:color="auto"/>
              <w:left w:val="nil"/>
              <w:bottom w:val="single" w:sz="4" w:space="0" w:color="auto"/>
              <w:right w:val="single" w:sz="4" w:space="0" w:color="auto"/>
            </w:tcBorders>
            <w:shd w:val="clear" w:color="000000" w:fill="DDEBF7"/>
            <w:noWrap/>
            <w:vAlign w:val="center"/>
            <w:hideMark/>
          </w:tcPr>
          <w:p w14:paraId="127C3E15" w14:textId="77777777" w:rsidR="0007573B" w:rsidRPr="00471310" w:rsidRDefault="0007573B" w:rsidP="006E4FF3">
            <w:pPr>
              <w:jc w:val="right"/>
              <w:rPr>
                <w:rFonts w:ascii="Calibri" w:hAnsi="Calibri" w:cs="Calibri"/>
                <w:b/>
                <w:bCs/>
                <w:color w:val="000000"/>
                <w:sz w:val="24"/>
                <w:szCs w:val="24"/>
              </w:rPr>
            </w:pPr>
            <w:r w:rsidRPr="00471310">
              <w:rPr>
                <w:rFonts w:ascii="Calibri" w:hAnsi="Calibri" w:cs="Calibri"/>
                <w:b/>
                <w:bCs/>
                <w:color w:val="000000"/>
                <w:sz w:val="24"/>
                <w:szCs w:val="24"/>
              </w:rPr>
              <w:t>Inspections</w:t>
            </w:r>
          </w:p>
        </w:tc>
        <w:tc>
          <w:tcPr>
            <w:tcW w:w="1080" w:type="dxa"/>
            <w:tcBorders>
              <w:top w:val="single" w:sz="4" w:space="0" w:color="auto"/>
              <w:left w:val="nil"/>
              <w:bottom w:val="single" w:sz="4" w:space="0" w:color="auto"/>
              <w:right w:val="single" w:sz="4" w:space="0" w:color="auto"/>
            </w:tcBorders>
            <w:shd w:val="clear" w:color="000000" w:fill="DDEBF7"/>
            <w:noWrap/>
            <w:vAlign w:val="center"/>
            <w:hideMark/>
          </w:tcPr>
          <w:p w14:paraId="43666C38" w14:textId="77777777" w:rsidR="0007573B" w:rsidRPr="00471310" w:rsidRDefault="0007573B" w:rsidP="006E4FF3">
            <w:pPr>
              <w:jc w:val="right"/>
              <w:rPr>
                <w:rFonts w:ascii="Calibri" w:hAnsi="Calibri" w:cs="Calibri"/>
                <w:b/>
                <w:bCs/>
                <w:color w:val="000000"/>
                <w:sz w:val="24"/>
                <w:szCs w:val="24"/>
              </w:rPr>
            </w:pPr>
            <w:r w:rsidRPr="00471310">
              <w:rPr>
                <w:rFonts w:ascii="Calibri" w:hAnsi="Calibri" w:cs="Calibri"/>
                <w:b/>
                <w:bCs/>
                <w:color w:val="000000"/>
                <w:sz w:val="24"/>
                <w:szCs w:val="24"/>
              </w:rPr>
              <w:t>Notes</w:t>
            </w:r>
          </w:p>
        </w:tc>
        <w:tc>
          <w:tcPr>
            <w:tcW w:w="990" w:type="dxa"/>
            <w:tcBorders>
              <w:top w:val="single" w:sz="4" w:space="0" w:color="auto"/>
              <w:left w:val="nil"/>
              <w:bottom w:val="single" w:sz="4" w:space="0" w:color="auto"/>
              <w:right w:val="single" w:sz="4" w:space="0" w:color="auto"/>
            </w:tcBorders>
            <w:shd w:val="clear" w:color="000000" w:fill="DDEBF7"/>
            <w:noWrap/>
            <w:vAlign w:val="center"/>
            <w:hideMark/>
          </w:tcPr>
          <w:p w14:paraId="4B5269D9" w14:textId="77777777" w:rsidR="0007573B" w:rsidRPr="00471310" w:rsidRDefault="0007573B" w:rsidP="006E4FF3">
            <w:pPr>
              <w:jc w:val="right"/>
              <w:rPr>
                <w:rFonts w:ascii="Calibri" w:hAnsi="Calibri" w:cs="Calibri"/>
                <w:b/>
                <w:bCs/>
                <w:color w:val="000000"/>
                <w:sz w:val="24"/>
                <w:szCs w:val="24"/>
              </w:rPr>
            </w:pPr>
            <w:r w:rsidRPr="00471310">
              <w:rPr>
                <w:rFonts w:ascii="Calibri" w:hAnsi="Calibri" w:cs="Calibri"/>
                <w:b/>
                <w:bCs/>
                <w:color w:val="000000"/>
                <w:sz w:val="24"/>
                <w:szCs w:val="24"/>
              </w:rPr>
              <w:t>TOTALS</w:t>
            </w:r>
          </w:p>
        </w:tc>
      </w:tr>
      <w:tr w:rsidR="0007573B" w:rsidRPr="00471310" w14:paraId="2D4F2FE1" w14:textId="77777777" w:rsidTr="006E4FF3">
        <w:trPr>
          <w:trHeight w:val="360"/>
        </w:trPr>
        <w:tc>
          <w:tcPr>
            <w:tcW w:w="2884" w:type="dxa"/>
            <w:tcBorders>
              <w:top w:val="nil"/>
              <w:left w:val="single" w:sz="4" w:space="0" w:color="auto"/>
              <w:bottom w:val="single" w:sz="4" w:space="0" w:color="auto"/>
              <w:right w:val="single" w:sz="4" w:space="0" w:color="auto"/>
            </w:tcBorders>
            <w:shd w:val="clear" w:color="auto" w:fill="auto"/>
            <w:vAlign w:val="center"/>
            <w:hideMark/>
          </w:tcPr>
          <w:p w14:paraId="09E6029D" w14:textId="77777777" w:rsidR="0007573B" w:rsidRPr="00471310" w:rsidRDefault="0007573B" w:rsidP="006E4FF3">
            <w:pPr>
              <w:rPr>
                <w:rFonts w:ascii="Calibri" w:hAnsi="Calibri" w:cs="Calibri"/>
                <w:color w:val="000000"/>
                <w:szCs w:val="22"/>
              </w:rPr>
            </w:pPr>
            <w:r w:rsidRPr="00471310">
              <w:rPr>
                <w:rFonts w:ascii="Calibri" w:hAnsi="Calibri"/>
                <w:color w:val="000000"/>
                <w:szCs w:val="22"/>
              </w:rPr>
              <w:t>Biomedical Waste</w:t>
            </w:r>
          </w:p>
        </w:tc>
        <w:tc>
          <w:tcPr>
            <w:tcW w:w="990" w:type="dxa"/>
            <w:tcBorders>
              <w:top w:val="nil"/>
              <w:left w:val="nil"/>
              <w:bottom w:val="single" w:sz="4" w:space="0" w:color="auto"/>
              <w:right w:val="single" w:sz="4" w:space="0" w:color="auto"/>
            </w:tcBorders>
            <w:shd w:val="clear" w:color="auto" w:fill="auto"/>
            <w:vAlign w:val="center"/>
            <w:hideMark/>
          </w:tcPr>
          <w:p w14:paraId="57FF0A50"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173</w:t>
            </w:r>
          </w:p>
        </w:tc>
        <w:tc>
          <w:tcPr>
            <w:tcW w:w="1080" w:type="dxa"/>
            <w:tcBorders>
              <w:top w:val="nil"/>
              <w:left w:val="nil"/>
              <w:bottom w:val="single" w:sz="4" w:space="0" w:color="auto"/>
              <w:right w:val="single" w:sz="4" w:space="0" w:color="auto"/>
            </w:tcBorders>
            <w:shd w:val="clear" w:color="auto" w:fill="auto"/>
            <w:vAlign w:val="center"/>
            <w:hideMark/>
          </w:tcPr>
          <w:p w14:paraId="6E3B91A0"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3,485</w:t>
            </w:r>
          </w:p>
        </w:tc>
        <w:tc>
          <w:tcPr>
            <w:tcW w:w="1080" w:type="dxa"/>
            <w:tcBorders>
              <w:top w:val="nil"/>
              <w:left w:val="nil"/>
              <w:bottom w:val="single" w:sz="4" w:space="0" w:color="auto"/>
              <w:right w:val="single" w:sz="4" w:space="0" w:color="auto"/>
            </w:tcBorders>
            <w:shd w:val="clear" w:color="auto" w:fill="auto"/>
            <w:noWrap/>
            <w:vAlign w:val="center"/>
            <w:hideMark/>
          </w:tcPr>
          <w:p w14:paraId="7E4E9CE9"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1,414</w:t>
            </w:r>
          </w:p>
        </w:tc>
        <w:tc>
          <w:tcPr>
            <w:tcW w:w="1351" w:type="dxa"/>
            <w:tcBorders>
              <w:top w:val="nil"/>
              <w:left w:val="nil"/>
              <w:bottom w:val="single" w:sz="4" w:space="0" w:color="auto"/>
              <w:right w:val="single" w:sz="4" w:space="0" w:color="auto"/>
            </w:tcBorders>
            <w:shd w:val="clear" w:color="auto" w:fill="auto"/>
            <w:noWrap/>
            <w:vAlign w:val="center"/>
            <w:hideMark/>
          </w:tcPr>
          <w:p w14:paraId="28E6852A"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2,705</w:t>
            </w:r>
          </w:p>
        </w:tc>
        <w:tc>
          <w:tcPr>
            <w:tcW w:w="1080" w:type="dxa"/>
            <w:tcBorders>
              <w:top w:val="nil"/>
              <w:left w:val="nil"/>
              <w:bottom w:val="single" w:sz="4" w:space="0" w:color="auto"/>
              <w:right w:val="single" w:sz="4" w:space="0" w:color="auto"/>
            </w:tcBorders>
            <w:shd w:val="clear" w:color="auto" w:fill="auto"/>
            <w:noWrap/>
            <w:vAlign w:val="center"/>
            <w:hideMark/>
          </w:tcPr>
          <w:p w14:paraId="2E8F731A"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87</w:t>
            </w:r>
          </w:p>
        </w:tc>
        <w:tc>
          <w:tcPr>
            <w:tcW w:w="990" w:type="dxa"/>
            <w:tcBorders>
              <w:top w:val="nil"/>
              <w:left w:val="nil"/>
              <w:bottom w:val="single" w:sz="4" w:space="0" w:color="auto"/>
              <w:right w:val="single" w:sz="4" w:space="0" w:color="auto"/>
            </w:tcBorders>
            <w:shd w:val="clear" w:color="auto" w:fill="auto"/>
            <w:noWrap/>
            <w:vAlign w:val="center"/>
            <w:hideMark/>
          </w:tcPr>
          <w:p w14:paraId="503F73ED"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7,864</w:t>
            </w:r>
          </w:p>
        </w:tc>
      </w:tr>
      <w:tr w:rsidR="0007573B" w:rsidRPr="00471310" w14:paraId="0DA83C96" w14:textId="77777777" w:rsidTr="006E4FF3">
        <w:trPr>
          <w:trHeight w:val="360"/>
        </w:trPr>
        <w:tc>
          <w:tcPr>
            <w:tcW w:w="2884" w:type="dxa"/>
            <w:tcBorders>
              <w:top w:val="nil"/>
              <w:left w:val="single" w:sz="4" w:space="0" w:color="auto"/>
              <w:bottom w:val="single" w:sz="4" w:space="0" w:color="auto"/>
              <w:right w:val="single" w:sz="4" w:space="0" w:color="auto"/>
            </w:tcBorders>
            <w:shd w:val="clear" w:color="auto" w:fill="auto"/>
            <w:vAlign w:val="center"/>
            <w:hideMark/>
          </w:tcPr>
          <w:p w14:paraId="51EC89FA" w14:textId="77777777" w:rsidR="0007573B" w:rsidRPr="00471310" w:rsidRDefault="0007573B" w:rsidP="006E4FF3">
            <w:pPr>
              <w:rPr>
                <w:rFonts w:ascii="Calibri" w:hAnsi="Calibri" w:cs="Calibri"/>
                <w:color w:val="000000"/>
                <w:szCs w:val="22"/>
              </w:rPr>
            </w:pPr>
            <w:r w:rsidRPr="00471310">
              <w:rPr>
                <w:rFonts w:ascii="Calibri" w:hAnsi="Calibri"/>
                <w:color w:val="000000"/>
                <w:szCs w:val="22"/>
              </w:rPr>
              <w:t>Body Piercing</w:t>
            </w:r>
          </w:p>
        </w:tc>
        <w:tc>
          <w:tcPr>
            <w:tcW w:w="990" w:type="dxa"/>
            <w:tcBorders>
              <w:top w:val="nil"/>
              <w:left w:val="nil"/>
              <w:bottom w:val="single" w:sz="4" w:space="0" w:color="auto"/>
              <w:right w:val="single" w:sz="4" w:space="0" w:color="auto"/>
            </w:tcBorders>
            <w:shd w:val="clear" w:color="auto" w:fill="auto"/>
            <w:vAlign w:val="center"/>
            <w:hideMark/>
          </w:tcPr>
          <w:p w14:paraId="7A762158"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4</w:t>
            </w:r>
          </w:p>
        </w:tc>
        <w:tc>
          <w:tcPr>
            <w:tcW w:w="1080" w:type="dxa"/>
            <w:tcBorders>
              <w:top w:val="nil"/>
              <w:left w:val="nil"/>
              <w:bottom w:val="single" w:sz="4" w:space="0" w:color="auto"/>
              <w:right w:val="single" w:sz="4" w:space="0" w:color="auto"/>
            </w:tcBorders>
            <w:shd w:val="clear" w:color="auto" w:fill="auto"/>
            <w:vAlign w:val="center"/>
            <w:hideMark/>
          </w:tcPr>
          <w:p w14:paraId="20EA31E5"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80</w:t>
            </w:r>
          </w:p>
        </w:tc>
        <w:tc>
          <w:tcPr>
            <w:tcW w:w="1080" w:type="dxa"/>
            <w:tcBorders>
              <w:top w:val="nil"/>
              <w:left w:val="nil"/>
              <w:bottom w:val="single" w:sz="4" w:space="0" w:color="auto"/>
              <w:right w:val="single" w:sz="4" w:space="0" w:color="auto"/>
            </w:tcBorders>
            <w:shd w:val="clear" w:color="auto" w:fill="auto"/>
            <w:noWrap/>
            <w:vAlign w:val="center"/>
            <w:hideMark/>
          </w:tcPr>
          <w:p w14:paraId="5388DAA8"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22</w:t>
            </w:r>
          </w:p>
        </w:tc>
        <w:tc>
          <w:tcPr>
            <w:tcW w:w="1351" w:type="dxa"/>
            <w:tcBorders>
              <w:top w:val="nil"/>
              <w:left w:val="nil"/>
              <w:bottom w:val="single" w:sz="4" w:space="0" w:color="auto"/>
              <w:right w:val="single" w:sz="4" w:space="0" w:color="auto"/>
            </w:tcBorders>
            <w:shd w:val="clear" w:color="auto" w:fill="auto"/>
            <w:noWrap/>
            <w:vAlign w:val="center"/>
            <w:hideMark/>
          </w:tcPr>
          <w:p w14:paraId="44394F46"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49</w:t>
            </w:r>
          </w:p>
        </w:tc>
        <w:tc>
          <w:tcPr>
            <w:tcW w:w="1080" w:type="dxa"/>
            <w:tcBorders>
              <w:top w:val="nil"/>
              <w:left w:val="nil"/>
              <w:bottom w:val="single" w:sz="4" w:space="0" w:color="auto"/>
              <w:right w:val="single" w:sz="4" w:space="0" w:color="auto"/>
            </w:tcBorders>
            <w:shd w:val="clear" w:color="auto" w:fill="auto"/>
            <w:noWrap/>
            <w:vAlign w:val="center"/>
            <w:hideMark/>
          </w:tcPr>
          <w:p w14:paraId="65A30E03"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2</w:t>
            </w:r>
          </w:p>
        </w:tc>
        <w:tc>
          <w:tcPr>
            <w:tcW w:w="990" w:type="dxa"/>
            <w:tcBorders>
              <w:top w:val="nil"/>
              <w:left w:val="nil"/>
              <w:bottom w:val="single" w:sz="4" w:space="0" w:color="auto"/>
              <w:right w:val="single" w:sz="4" w:space="0" w:color="auto"/>
            </w:tcBorders>
            <w:shd w:val="clear" w:color="auto" w:fill="auto"/>
            <w:noWrap/>
            <w:vAlign w:val="center"/>
            <w:hideMark/>
          </w:tcPr>
          <w:p w14:paraId="3B5D8446"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157</w:t>
            </w:r>
          </w:p>
        </w:tc>
      </w:tr>
      <w:tr w:rsidR="0007573B" w:rsidRPr="00471310" w14:paraId="3FCE363A" w14:textId="77777777" w:rsidTr="006E4FF3">
        <w:trPr>
          <w:trHeight w:val="360"/>
        </w:trPr>
        <w:tc>
          <w:tcPr>
            <w:tcW w:w="2884" w:type="dxa"/>
            <w:tcBorders>
              <w:top w:val="nil"/>
              <w:left w:val="single" w:sz="4" w:space="0" w:color="auto"/>
              <w:bottom w:val="single" w:sz="4" w:space="0" w:color="auto"/>
              <w:right w:val="single" w:sz="4" w:space="0" w:color="auto"/>
            </w:tcBorders>
            <w:shd w:val="clear" w:color="auto" w:fill="auto"/>
            <w:vAlign w:val="center"/>
            <w:hideMark/>
          </w:tcPr>
          <w:p w14:paraId="0A290117" w14:textId="77777777" w:rsidR="0007573B" w:rsidRPr="00471310" w:rsidRDefault="0007573B" w:rsidP="006E4FF3">
            <w:pPr>
              <w:rPr>
                <w:rFonts w:ascii="Calibri" w:hAnsi="Calibri" w:cs="Calibri"/>
                <w:color w:val="000000"/>
                <w:szCs w:val="22"/>
              </w:rPr>
            </w:pPr>
            <w:r w:rsidRPr="00471310">
              <w:rPr>
                <w:rFonts w:ascii="Calibri" w:hAnsi="Calibri"/>
                <w:color w:val="000000"/>
                <w:szCs w:val="22"/>
              </w:rPr>
              <w:t>Food Hygiene</w:t>
            </w:r>
          </w:p>
        </w:tc>
        <w:tc>
          <w:tcPr>
            <w:tcW w:w="990" w:type="dxa"/>
            <w:tcBorders>
              <w:top w:val="nil"/>
              <w:left w:val="nil"/>
              <w:bottom w:val="single" w:sz="4" w:space="0" w:color="auto"/>
              <w:right w:val="single" w:sz="4" w:space="0" w:color="auto"/>
            </w:tcBorders>
            <w:shd w:val="clear" w:color="auto" w:fill="auto"/>
            <w:vAlign w:val="center"/>
            <w:hideMark/>
          </w:tcPr>
          <w:p w14:paraId="621B847A"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86</w:t>
            </w:r>
          </w:p>
        </w:tc>
        <w:tc>
          <w:tcPr>
            <w:tcW w:w="1080" w:type="dxa"/>
            <w:tcBorders>
              <w:top w:val="nil"/>
              <w:left w:val="nil"/>
              <w:bottom w:val="single" w:sz="4" w:space="0" w:color="auto"/>
              <w:right w:val="single" w:sz="4" w:space="0" w:color="auto"/>
            </w:tcBorders>
            <w:shd w:val="clear" w:color="auto" w:fill="auto"/>
            <w:vAlign w:val="center"/>
            <w:hideMark/>
          </w:tcPr>
          <w:p w14:paraId="54B63434"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4,646</w:t>
            </w:r>
          </w:p>
        </w:tc>
        <w:tc>
          <w:tcPr>
            <w:tcW w:w="1080" w:type="dxa"/>
            <w:tcBorders>
              <w:top w:val="nil"/>
              <w:left w:val="nil"/>
              <w:bottom w:val="single" w:sz="4" w:space="0" w:color="auto"/>
              <w:right w:val="single" w:sz="4" w:space="0" w:color="auto"/>
            </w:tcBorders>
            <w:shd w:val="clear" w:color="auto" w:fill="auto"/>
            <w:noWrap/>
            <w:vAlign w:val="center"/>
            <w:hideMark/>
          </w:tcPr>
          <w:p w14:paraId="6CFDA0B4"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562</w:t>
            </w:r>
          </w:p>
        </w:tc>
        <w:tc>
          <w:tcPr>
            <w:tcW w:w="1351" w:type="dxa"/>
            <w:tcBorders>
              <w:top w:val="nil"/>
              <w:left w:val="nil"/>
              <w:bottom w:val="single" w:sz="4" w:space="0" w:color="auto"/>
              <w:right w:val="single" w:sz="4" w:space="0" w:color="auto"/>
            </w:tcBorders>
            <w:shd w:val="clear" w:color="auto" w:fill="auto"/>
            <w:noWrap/>
            <w:vAlign w:val="center"/>
            <w:hideMark/>
          </w:tcPr>
          <w:p w14:paraId="590B1638"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2,502</w:t>
            </w:r>
          </w:p>
        </w:tc>
        <w:tc>
          <w:tcPr>
            <w:tcW w:w="1080" w:type="dxa"/>
            <w:tcBorders>
              <w:top w:val="nil"/>
              <w:left w:val="nil"/>
              <w:bottom w:val="single" w:sz="4" w:space="0" w:color="auto"/>
              <w:right w:val="single" w:sz="4" w:space="0" w:color="auto"/>
            </w:tcBorders>
            <w:shd w:val="clear" w:color="auto" w:fill="auto"/>
            <w:noWrap/>
            <w:vAlign w:val="center"/>
            <w:hideMark/>
          </w:tcPr>
          <w:p w14:paraId="196053DD"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54</w:t>
            </w:r>
          </w:p>
        </w:tc>
        <w:tc>
          <w:tcPr>
            <w:tcW w:w="990" w:type="dxa"/>
            <w:tcBorders>
              <w:top w:val="nil"/>
              <w:left w:val="nil"/>
              <w:bottom w:val="single" w:sz="4" w:space="0" w:color="auto"/>
              <w:right w:val="single" w:sz="4" w:space="0" w:color="auto"/>
            </w:tcBorders>
            <w:shd w:val="clear" w:color="auto" w:fill="auto"/>
            <w:noWrap/>
            <w:vAlign w:val="center"/>
            <w:hideMark/>
          </w:tcPr>
          <w:p w14:paraId="1F7DFFE2"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7,850</w:t>
            </w:r>
          </w:p>
        </w:tc>
      </w:tr>
      <w:tr w:rsidR="0007573B" w:rsidRPr="00471310" w14:paraId="5686750E" w14:textId="77777777" w:rsidTr="006E4FF3">
        <w:trPr>
          <w:trHeight w:val="360"/>
        </w:trPr>
        <w:tc>
          <w:tcPr>
            <w:tcW w:w="2884" w:type="dxa"/>
            <w:tcBorders>
              <w:top w:val="nil"/>
              <w:left w:val="single" w:sz="4" w:space="0" w:color="auto"/>
              <w:bottom w:val="single" w:sz="4" w:space="0" w:color="auto"/>
              <w:right w:val="single" w:sz="4" w:space="0" w:color="auto"/>
            </w:tcBorders>
            <w:shd w:val="clear" w:color="auto" w:fill="auto"/>
            <w:vAlign w:val="center"/>
            <w:hideMark/>
          </w:tcPr>
          <w:p w14:paraId="65032097" w14:textId="77777777" w:rsidR="0007573B" w:rsidRPr="00471310" w:rsidRDefault="0007573B" w:rsidP="006E4FF3">
            <w:pPr>
              <w:rPr>
                <w:rFonts w:ascii="Calibri" w:hAnsi="Calibri" w:cs="Calibri"/>
                <w:color w:val="000000"/>
                <w:szCs w:val="22"/>
              </w:rPr>
            </w:pPr>
            <w:r w:rsidRPr="00471310">
              <w:rPr>
                <w:rFonts w:ascii="Calibri" w:hAnsi="Calibri"/>
                <w:color w:val="000000"/>
                <w:szCs w:val="22"/>
              </w:rPr>
              <w:t>Group Care</w:t>
            </w:r>
          </w:p>
        </w:tc>
        <w:tc>
          <w:tcPr>
            <w:tcW w:w="990" w:type="dxa"/>
            <w:tcBorders>
              <w:top w:val="nil"/>
              <w:left w:val="nil"/>
              <w:bottom w:val="single" w:sz="4" w:space="0" w:color="auto"/>
              <w:right w:val="single" w:sz="4" w:space="0" w:color="auto"/>
            </w:tcBorders>
            <w:shd w:val="clear" w:color="auto" w:fill="auto"/>
            <w:vAlign w:val="center"/>
            <w:hideMark/>
          </w:tcPr>
          <w:p w14:paraId="440632AC"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122</w:t>
            </w:r>
          </w:p>
        </w:tc>
        <w:tc>
          <w:tcPr>
            <w:tcW w:w="1080" w:type="dxa"/>
            <w:tcBorders>
              <w:top w:val="nil"/>
              <w:left w:val="nil"/>
              <w:bottom w:val="single" w:sz="4" w:space="0" w:color="auto"/>
              <w:right w:val="single" w:sz="4" w:space="0" w:color="auto"/>
            </w:tcBorders>
            <w:shd w:val="clear" w:color="auto" w:fill="auto"/>
            <w:noWrap/>
            <w:vAlign w:val="center"/>
            <w:hideMark/>
          </w:tcPr>
          <w:p w14:paraId="3CD2C6F4"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1,643</w:t>
            </w:r>
          </w:p>
        </w:tc>
        <w:tc>
          <w:tcPr>
            <w:tcW w:w="1080" w:type="dxa"/>
            <w:tcBorders>
              <w:top w:val="nil"/>
              <w:left w:val="nil"/>
              <w:bottom w:val="single" w:sz="4" w:space="0" w:color="auto"/>
              <w:right w:val="single" w:sz="4" w:space="0" w:color="auto"/>
            </w:tcBorders>
            <w:shd w:val="clear" w:color="auto" w:fill="auto"/>
            <w:noWrap/>
            <w:vAlign w:val="center"/>
            <w:hideMark/>
          </w:tcPr>
          <w:p w14:paraId="7D2749A4"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264</w:t>
            </w:r>
          </w:p>
        </w:tc>
        <w:tc>
          <w:tcPr>
            <w:tcW w:w="1351" w:type="dxa"/>
            <w:tcBorders>
              <w:top w:val="nil"/>
              <w:left w:val="nil"/>
              <w:bottom w:val="single" w:sz="4" w:space="0" w:color="auto"/>
              <w:right w:val="single" w:sz="4" w:space="0" w:color="auto"/>
            </w:tcBorders>
            <w:shd w:val="clear" w:color="auto" w:fill="auto"/>
            <w:noWrap/>
            <w:vAlign w:val="center"/>
            <w:hideMark/>
          </w:tcPr>
          <w:p w14:paraId="674111F6"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2,665</w:t>
            </w:r>
          </w:p>
        </w:tc>
        <w:tc>
          <w:tcPr>
            <w:tcW w:w="1080" w:type="dxa"/>
            <w:tcBorders>
              <w:top w:val="nil"/>
              <w:left w:val="nil"/>
              <w:bottom w:val="single" w:sz="4" w:space="0" w:color="auto"/>
              <w:right w:val="single" w:sz="4" w:space="0" w:color="auto"/>
            </w:tcBorders>
            <w:shd w:val="clear" w:color="auto" w:fill="auto"/>
            <w:noWrap/>
            <w:vAlign w:val="center"/>
            <w:hideMark/>
          </w:tcPr>
          <w:p w14:paraId="465AEE19"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79</w:t>
            </w:r>
          </w:p>
        </w:tc>
        <w:tc>
          <w:tcPr>
            <w:tcW w:w="990" w:type="dxa"/>
            <w:tcBorders>
              <w:top w:val="nil"/>
              <w:left w:val="nil"/>
              <w:bottom w:val="single" w:sz="4" w:space="0" w:color="auto"/>
              <w:right w:val="single" w:sz="4" w:space="0" w:color="auto"/>
            </w:tcBorders>
            <w:shd w:val="clear" w:color="auto" w:fill="auto"/>
            <w:noWrap/>
            <w:vAlign w:val="center"/>
            <w:hideMark/>
          </w:tcPr>
          <w:p w14:paraId="296D05DB"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4,773</w:t>
            </w:r>
          </w:p>
        </w:tc>
      </w:tr>
      <w:tr w:rsidR="0007573B" w:rsidRPr="00471310" w14:paraId="5FE15B4A" w14:textId="77777777" w:rsidTr="006E4FF3">
        <w:trPr>
          <w:trHeight w:val="360"/>
        </w:trPr>
        <w:tc>
          <w:tcPr>
            <w:tcW w:w="2884" w:type="dxa"/>
            <w:tcBorders>
              <w:top w:val="nil"/>
              <w:left w:val="single" w:sz="4" w:space="0" w:color="auto"/>
              <w:bottom w:val="single" w:sz="4" w:space="0" w:color="auto"/>
              <w:right w:val="single" w:sz="4" w:space="0" w:color="auto"/>
            </w:tcBorders>
            <w:shd w:val="clear" w:color="auto" w:fill="auto"/>
            <w:vAlign w:val="center"/>
            <w:hideMark/>
          </w:tcPr>
          <w:p w14:paraId="7F457366" w14:textId="77777777" w:rsidR="0007573B" w:rsidRPr="00471310" w:rsidRDefault="0007573B" w:rsidP="006E4FF3">
            <w:pPr>
              <w:rPr>
                <w:rFonts w:ascii="Calibri" w:hAnsi="Calibri" w:cs="Calibri"/>
                <w:color w:val="000000"/>
                <w:szCs w:val="22"/>
              </w:rPr>
            </w:pPr>
            <w:r w:rsidRPr="00471310">
              <w:rPr>
                <w:rFonts w:ascii="Calibri" w:hAnsi="Calibri"/>
                <w:color w:val="000000"/>
                <w:szCs w:val="22"/>
              </w:rPr>
              <w:t>Limited-Use Water</w:t>
            </w:r>
          </w:p>
        </w:tc>
        <w:tc>
          <w:tcPr>
            <w:tcW w:w="990" w:type="dxa"/>
            <w:tcBorders>
              <w:top w:val="nil"/>
              <w:left w:val="nil"/>
              <w:bottom w:val="single" w:sz="4" w:space="0" w:color="auto"/>
              <w:right w:val="single" w:sz="4" w:space="0" w:color="auto"/>
            </w:tcBorders>
            <w:shd w:val="clear" w:color="auto" w:fill="auto"/>
            <w:vAlign w:val="center"/>
            <w:hideMark/>
          </w:tcPr>
          <w:p w14:paraId="2668FDAD"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284</w:t>
            </w:r>
          </w:p>
        </w:tc>
        <w:tc>
          <w:tcPr>
            <w:tcW w:w="1080" w:type="dxa"/>
            <w:tcBorders>
              <w:top w:val="nil"/>
              <w:left w:val="nil"/>
              <w:bottom w:val="single" w:sz="4" w:space="0" w:color="auto"/>
              <w:right w:val="single" w:sz="4" w:space="0" w:color="auto"/>
            </w:tcBorders>
            <w:shd w:val="clear" w:color="auto" w:fill="auto"/>
            <w:noWrap/>
            <w:vAlign w:val="center"/>
            <w:hideMark/>
          </w:tcPr>
          <w:p w14:paraId="24D8A5CC"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1,605</w:t>
            </w:r>
          </w:p>
        </w:tc>
        <w:tc>
          <w:tcPr>
            <w:tcW w:w="1080" w:type="dxa"/>
            <w:tcBorders>
              <w:top w:val="nil"/>
              <w:left w:val="nil"/>
              <w:bottom w:val="single" w:sz="4" w:space="0" w:color="auto"/>
              <w:right w:val="single" w:sz="4" w:space="0" w:color="auto"/>
            </w:tcBorders>
            <w:shd w:val="clear" w:color="auto" w:fill="auto"/>
            <w:noWrap/>
            <w:vAlign w:val="center"/>
            <w:hideMark/>
          </w:tcPr>
          <w:p w14:paraId="265D55AF"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817</w:t>
            </w:r>
          </w:p>
        </w:tc>
        <w:tc>
          <w:tcPr>
            <w:tcW w:w="1351" w:type="dxa"/>
            <w:tcBorders>
              <w:top w:val="nil"/>
              <w:left w:val="nil"/>
              <w:bottom w:val="single" w:sz="4" w:space="0" w:color="auto"/>
              <w:right w:val="single" w:sz="4" w:space="0" w:color="auto"/>
            </w:tcBorders>
            <w:shd w:val="clear" w:color="auto" w:fill="auto"/>
            <w:noWrap/>
            <w:vAlign w:val="center"/>
            <w:hideMark/>
          </w:tcPr>
          <w:p w14:paraId="65ACD47E"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2,774</w:t>
            </w:r>
          </w:p>
        </w:tc>
        <w:tc>
          <w:tcPr>
            <w:tcW w:w="1080" w:type="dxa"/>
            <w:tcBorders>
              <w:top w:val="nil"/>
              <w:left w:val="nil"/>
              <w:bottom w:val="single" w:sz="4" w:space="0" w:color="auto"/>
              <w:right w:val="single" w:sz="4" w:space="0" w:color="auto"/>
            </w:tcBorders>
            <w:shd w:val="clear" w:color="auto" w:fill="auto"/>
            <w:noWrap/>
            <w:vAlign w:val="center"/>
            <w:hideMark/>
          </w:tcPr>
          <w:p w14:paraId="3260CF46"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52</w:t>
            </w:r>
          </w:p>
        </w:tc>
        <w:tc>
          <w:tcPr>
            <w:tcW w:w="990" w:type="dxa"/>
            <w:tcBorders>
              <w:top w:val="nil"/>
              <w:left w:val="nil"/>
              <w:bottom w:val="single" w:sz="4" w:space="0" w:color="auto"/>
              <w:right w:val="single" w:sz="4" w:space="0" w:color="auto"/>
            </w:tcBorders>
            <w:shd w:val="clear" w:color="auto" w:fill="auto"/>
            <w:noWrap/>
            <w:vAlign w:val="center"/>
            <w:hideMark/>
          </w:tcPr>
          <w:p w14:paraId="46FC80AE"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5,532</w:t>
            </w:r>
          </w:p>
        </w:tc>
      </w:tr>
      <w:tr w:rsidR="0007573B" w:rsidRPr="00471310" w14:paraId="5D579383" w14:textId="77777777" w:rsidTr="006E4FF3">
        <w:trPr>
          <w:trHeight w:val="360"/>
        </w:trPr>
        <w:tc>
          <w:tcPr>
            <w:tcW w:w="2884" w:type="dxa"/>
            <w:tcBorders>
              <w:top w:val="nil"/>
              <w:left w:val="single" w:sz="4" w:space="0" w:color="auto"/>
              <w:bottom w:val="single" w:sz="4" w:space="0" w:color="auto"/>
              <w:right w:val="single" w:sz="4" w:space="0" w:color="auto"/>
            </w:tcBorders>
            <w:shd w:val="clear" w:color="auto" w:fill="auto"/>
            <w:vAlign w:val="center"/>
            <w:hideMark/>
          </w:tcPr>
          <w:p w14:paraId="63781C0B" w14:textId="77777777" w:rsidR="0007573B" w:rsidRPr="00471310" w:rsidRDefault="0007573B" w:rsidP="006E4FF3">
            <w:pPr>
              <w:rPr>
                <w:rFonts w:ascii="Calibri" w:hAnsi="Calibri" w:cs="Calibri"/>
                <w:color w:val="000000"/>
                <w:szCs w:val="22"/>
              </w:rPr>
            </w:pPr>
            <w:r w:rsidRPr="00471310">
              <w:rPr>
                <w:rFonts w:ascii="Calibri" w:hAnsi="Calibri"/>
                <w:color w:val="000000"/>
                <w:szCs w:val="22"/>
              </w:rPr>
              <w:t>Migrant Labor Camp</w:t>
            </w:r>
          </w:p>
        </w:tc>
        <w:tc>
          <w:tcPr>
            <w:tcW w:w="990" w:type="dxa"/>
            <w:tcBorders>
              <w:top w:val="nil"/>
              <w:left w:val="nil"/>
              <w:bottom w:val="single" w:sz="4" w:space="0" w:color="auto"/>
              <w:right w:val="single" w:sz="4" w:space="0" w:color="auto"/>
            </w:tcBorders>
            <w:shd w:val="clear" w:color="auto" w:fill="auto"/>
            <w:vAlign w:val="center"/>
            <w:hideMark/>
          </w:tcPr>
          <w:p w14:paraId="11D8BCFF"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6</w:t>
            </w:r>
          </w:p>
        </w:tc>
        <w:tc>
          <w:tcPr>
            <w:tcW w:w="1080" w:type="dxa"/>
            <w:tcBorders>
              <w:top w:val="nil"/>
              <w:left w:val="nil"/>
              <w:bottom w:val="single" w:sz="4" w:space="0" w:color="auto"/>
              <w:right w:val="single" w:sz="4" w:space="0" w:color="auto"/>
            </w:tcBorders>
            <w:shd w:val="clear" w:color="auto" w:fill="auto"/>
            <w:noWrap/>
            <w:vAlign w:val="center"/>
            <w:hideMark/>
          </w:tcPr>
          <w:p w14:paraId="42D744CC"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158</w:t>
            </w:r>
          </w:p>
        </w:tc>
        <w:tc>
          <w:tcPr>
            <w:tcW w:w="1080" w:type="dxa"/>
            <w:tcBorders>
              <w:top w:val="nil"/>
              <w:left w:val="nil"/>
              <w:bottom w:val="single" w:sz="4" w:space="0" w:color="auto"/>
              <w:right w:val="single" w:sz="4" w:space="0" w:color="auto"/>
            </w:tcBorders>
            <w:shd w:val="clear" w:color="auto" w:fill="auto"/>
            <w:noWrap/>
            <w:vAlign w:val="center"/>
            <w:hideMark/>
          </w:tcPr>
          <w:p w14:paraId="57772EDC"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36</w:t>
            </w:r>
          </w:p>
        </w:tc>
        <w:tc>
          <w:tcPr>
            <w:tcW w:w="1351" w:type="dxa"/>
            <w:tcBorders>
              <w:top w:val="nil"/>
              <w:left w:val="nil"/>
              <w:bottom w:val="single" w:sz="4" w:space="0" w:color="auto"/>
              <w:right w:val="single" w:sz="4" w:space="0" w:color="auto"/>
            </w:tcBorders>
            <w:shd w:val="clear" w:color="auto" w:fill="auto"/>
            <w:noWrap/>
            <w:vAlign w:val="center"/>
            <w:hideMark/>
          </w:tcPr>
          <w:p w14:paraId="124D8537"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530</w:t>
            </w:r>
          </w:p>
        </w:tc>
        <w:tc>
          <w:tcPr>
            <w:tcW w:w="1080" w:type="dxa"/>
            <w:tcBorders>
              <w:top w:val="nil"/>
              <w:left w:val="nil"/>
              <w:bottom w:val="single" w:sz="4" w:space="0" w:color="auto"/>
              <w:right w:val="single" w:sz="4" w:space="0" w:color="auto"/>
            </w:tcBorders>
            <w:shd w:val="clear" w:color="auto" w:fill="auto"/>
            <w:noWrap/>
            <w:vAlign w:val="center"/>
            <w:hideMark/>
          </w:tcPr>
          <w:p w14:paraId="42FC59E9"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5</w:t>
            </w:r>
          </w:p>
        </w:tc>
        <w:tc>
          <w:tcPr>
            <w:tcW w:w="990" w:type="dxa"/>
            <w:tcBorders>
              <w:top w:val="nil"/>
              <w:left w:val="nil"/>
              <w:bottom w:val="single" w:sz="4" w:space="0" w:color="auto"/>
              <w:right w:val="single" w:sz="4" w:space="0" w:color="auto"/>
            </w:tcBorders>
            <w:shd w:val="clear" w:color="auto" w:fill="auto"/>
            <w:noWrap/>
            <w:vAlign w:val="center"/>
            <w:hideMark/>
          </w:tcPr>
          <w:p w14:paraId="66120BB2"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735</w:t>
            </w:r>
          </w:p>
        </w:tc>
      </w:tr>
      <w:tr w:rsidR="0007573B" w:rsidRPr="00471310" w14:paraId="329FF9C5" w14:textId="77777777" w:rsidTr="006E4FF3">
        <w:trPr>
          <w:trHeight w:val="360"/>
        </w:trPr>
        <w:tc>
          <w:tcPr>
            <w:tcW w:w="2884" w:type="dxa"/>
            <w:tcBorders>
              <w:top w:val="nil"/>
              <w:left w:val="single" w:sz="4" w:space="0" w:color="auto"/>
              <w:bottom w:val="single" w:sz="4" w:space="0" w:color="auto"/>
              <w:right w:val="single" w:sz="4" w:space="0" w:color="auto"/>
            </w:tcBorders>
            <w:shd w:val="clear" w:color="auto" w:fill="auto"/>
            <w:vAlign w:val="center"/>
            <w:hideMark/>
          </w:tcPr>
          <w:p w14:paraId="03C2FF5B" w14:textId="77777777" w:rsidR="0007573B" w:rsidRPr="00471310" w:rsidRDefault="0007573B" w:rsidP="006E4FF3">
            <w:pPr>
              <w:rPr>
                <w:rFonts w:ascii="Calibri" w:hAnsi="Calibri" w:cs="Calibri"/>
                <w:color w:val="000000"/>
                <w:szCs w:val="22"/>
              </w:rPr>
            </w:pPr>
            <w:r w:rsidRPr="00471310">
              <w:rPr>
                <w:rFonts w:ascii="Calibri" w:hAnsi="Calibri"/>
                <w:color w:val="000000"/>
                <w:szCs w:val="22"/>
              </w:rPr>
              <w:t>Miscellaneous</w:t>
            </w:r>
          </w:p>
        </w:tc>
        <w:tc>
          <w:tcPr>
            <w:tcW w:w="990" w:type="dxa"/>
            <w:tcBorders>
              <w:top w:val="nil"/>
              <w:left w:val="nil"/>
              <w:bottom w:val="single" w:sz="4" w:space="0" w:color="auto"/>
              <w:right w:val="single" w:sz="4" w:space="0" w:color="auto"/>
            </w:tcBorders>
            <w:shd w:val="clear" w:color="auto" w:fill="auto"/>
            <w:vAlign w:val="center"/>
            <w:hideMark/>
          </w:tcPr>
          <w:p w14:paraId="6ACAF5B6"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80</w:t>
            </w:r>
          </w:p>
        </w:tc>
        <w:tc>
          <w:tcPr>
            <w:tcW w:w="1080" w:type="dxa"/>
            <w:tcBorders>
              <w:top w:val="nil"/>
              <w:left w:val="nil"/>
              <w:bottom w:val="single" w:sz="4" w:space="0" w:color="auto"/>
              <w:right w:val="single" w:sz="4" w:space="0" w:color="auto"/>
            </w:tcBorders>
            <w:shd w:val="clear" w:color="auto" w:fill="auto"/>
            <w:noWrap/>
            <w:vAlign w:val="center"/>
            <w:hideMark/>
          </w:tcPr>
          <w:p w14:paraId="0741350A"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1,390</w:t>
            </w:r>
          </w:p>
        </w:tc>
        <w:tc>
          <w:tcPr>
            <w:tcW w:w="1080" w:type="dxa"/>
            <w:tcBorders>
              <w:top w:val="nil"/>
              <w:left w:val="nil"/>
              <w:bottom w:val="single" w:sz="4" w:space="0" w:color="auto"/>
              <w:right w:val="single" w:sz="4" w:space="0" w:color="auto"/>
            </w:tcBorders>
            <w:shd w:val="clear" w:color="auto" w:fill="auto"/>
            <w:noWrap/>
            <w:vAlign w:val="center"/>
            <w:hideMark/>
          </w:tcPr>
          <w:p w14:paraId="6B9C8617"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459</w:t>
            </w:r>
          </w:p>
        </w:tc>
        <w:tc>
          <w:tcPr>
            <w:tcW w:w="1351" w:type="dxa"/>
            <w:tcBorders>
              <w:top w:val="nil"/>
              <w:left w:val="nil"/>
              <w:bottom w:val="single" w:sz="4" w:space="0" w:color="auto"/>
              <w:right w:val="single" w:sz="4" w:space="0" w:color="auto"/>
            </w:tcBorders>
            <w:shd w:val="clear" w:color="auto" w:fill="auto"/>
            <w:noWrap/>
            <w:vAlign w:val="center"/>
            <w:hideMark/>
          </w:tcPr>
          <w:p w14:paraId="6ED108CE"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525</w:t>
            </w:r>
          </w:p>
        </w:tc>
        <w:tc>
          <w:tcPr>
            <w:tcW w:w="1080" w:type="dxa"/>
            <w:tcBorders>
              <w:top w:val="nil"/>
              <w:left w:val="nil"/>
              <w:bottom w:val="single" w:sz="4" w:space="0" w:color="auto"/>
              <w:right w:val="single" w:sz="4" w:space="0" w:color="auto"/>
            </w:tcBorders>
            <w:shd w:val="clear" w:color="auto" w:fill="auto"/>
            <w:noWrap/>
            <w:vAlign w:val="center"/>
            <w:hideMark/>
          </w:tcPr>
          <w:p w14:paraId="644BA8C4"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54</w:t>
            </w:r>
          </w:p>
        </w:tc>
        <w:tc>
          <w:tcPr>
            <w:tcW w:w="990" w:type="dxa"/>
            <w:tcBorders>
              <w:top w:val="nil"/>
              <w:left w:val="nil"/>
              <w:bottom w:val="single" w:sz="4" w:space="0" w:color="auto"/>
              <w:right w:val="single" w:sz="4" w:space="0" w:color="auto"/>
            </w:tcBorders>
            <w:shd w:val="clear" w:color="auto" w:fill="auto"/>
            <w:noWrap/>
            <w:vAlign w:val="center"/>
            <w:hideMark/>
          </w:tcPr>
          <w:p w14:paraId="459650A1"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2,508</w:t>
            </w:r>
          </w:p>
        </w:tc>
      </w:tr>
      <w:tr w:rsidR="0007573B" w:rsidRPr="00471310" w14:paraId="7D48CC3A" w14:textId="77777777" w:rsidTr="006E4FF3">
        <w:trPr>
          <w:trHeight w:val="360"/>
        </w:trPr>
        <w:tc>
          <w:tcPr>
            <w:tcW w:w="2884" w:type="dxa"/>
            <w:tcBorders>
              <w:top w:val="nil"/>
              <w:left w:val="single" w:sz="4" w:space="0" w:color="auto"/>
              <w:bottom w:val="single" w:sz="4" w:space="0" w:color="auto"/>
              <w:right w:val="single" w:sz="4" w:space="0" w:color="auto"/>
            </w:tcBorders>
            <w:shd w:val="clear" w:color="auto" w:fill="auto"/>
            <w:vAlign w:val="center"/>
            <w:hideMark/>
          </w:tcPr>
          <w:p w14:paraId="3E3DC6C5" w14:textId="77777777" w:rsidR="0007573B" w:rsidRPr="00471310" w:rsidRDefault="0007573B" w:rsidP="006E4FF3">
            <w:pPr>
              <w:rPr>
                <w:rFonts w:ascii="Calibri" w:hAnsi="Calibri" w:cs="Calibri"/>
                <w:color w:val="000000"/>
                <w:szCs w:val="22"/>
              </w:rPr>
            </w:pPr>
            <w:r w:rsidRPr="00471310">
              <w:rPr>
                <w:rFonts w:ascii="Calibri" w:hAnsi="Calibri"/>
                <w:color w:val="000000"/>
                <w:szCs w:val="22"/>
              </w:rPr>
              <w:t>Mobile Home Parks</w:t>
            </w:r>
          </w:p>
        </w:tc>
        <w:tc>
          <w:tcPr>
            <w:tcW w:w="990" w:type="dxa"/>
            <w:tcBorders>
              <w:top w:val="nil"/>
              <w:left w:val="nil"/>
              <w:bottom w:val="single" w:sz="4" w:space="0" w:color="auto"/>
              <w:right w:val="single" w:sz="4" w:space="0" w:color="auto"/>
            </w:tcBorders>
            <w:shd w:val="clear" w:color="auto" w:fill="auto"/>
            <w:vAlign w:val="center"/>
            <w:hideMark/>
          </w:tcPr>
          <w:p w14:paraId="62FF42FD"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22</w:t>
            </w:r>
          </w:p>
        </w:tc>
        <w:tc>
          <w:tcPr>
            <w:tcW w:w="1080" w:type="dxa"/>
            <w:tcBorders>
              <w:top w:val="nil"/>
              <w:left w:val="nil"/>
              <w:bottom w:val="single" w:sz="4" w:space="0" w:color="auto"/>
              <w:right w:val="single" w:sz="4" w:space="0" w:color="auto"/>
            </w:tcBorders>
            <w:shd w:val="clear" w:color="auto" w:fill="auto"/>
            <w:noWrap/>
            <w:vAlign w:val="center"/>
            <w:hideMark/>
          </w:tcPr>
          <w:p w14:paraId="75B9D26D"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705</w:t>
            </w:r>
          </w:p>
        </w:tc>
        <w:tc>
          <w:tcPr>
            <w:tcW w:w="1080" w:type="dxa"/>
            <w:tcBorders>
              <w:top w:val="nil"/>
              <w:left w:val="nil"/>
              <w:bottom w:val="single" w:sz="4" w:space="0" w:color="auto"/>
              <w:right w:val="single" w:sz="4" w:space="0" w:color="auto"/>
            </w:tcBorders>
            <w:shd w:val="clear" w:color="auto" w:fill="auto"/>
            <w:noWrap/>
            <w:vAlign w:val="center"/>
            <w:hideMark/>
          </w:tcPr>
          <w:p w14:paraId="74CA9CBA"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199</w:t>
            </w:r>
          </w:p>
        </w:tc>
        <w:tc>
          <w:tcPr>
            <w:tcW w:w="1351" w:type="dxa"/>
            <w:tcBorders>
              <w:top w:val="nil"/>
              <w:left w:val="nil"/>
              <w:bottom w:val="single" w:sz="4" w:space="0" w:color="auto"/>
              <w:right w:val="single" w:sz="4" w:space="0" w:color="auto"/>
            </w:tcBorders>
            <w:shd w:val="clear" w:color="auto" w:fill="auto"/>
            <w:noWrap/>
            <w:vAlign w:val="center"/>
            <w:hideMark/>
          </w:tcPr>
          <w:p w14:paraId="1BEB7299"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1,475</w:t>
            </w:r>
          </w:p>
        </w:tc>
        <w:tc>
          <w:tcPr>
            <w:tcW w:w="1080" w:type="dxa"/>
            <w:tcBorders>
              <w:top w:val="nil"/>
              <w:left w:val="nil"/>
              <w:bottom w:val="single" w:sz="4" w:space="0" w:color="auto"/>
              <w:right w:val="single" w:sz="4" w:space="0" w:color="auto"/>
            </w:tcBorders>
            <w:shd w:val="clear" w:color="auto" w:fill="auto"/>
            <w:noWrap/>
            <w:vAlign w:val="center"/>
            <w:hideMark/>
          </w:tcPr>
          <w:p w14:paraId="32982822"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10</w:t>
            </w:r>
          </w:p>
        </w:tc>
        <w:tc>
          <w:tcPr>
            <w:tcW w:w="990" w:type="dxa"/>
            <w:tcBorders>
              <w:top w:val="nil"/>
              <w:left w:val="nil"/>
              <w:bottom w:val="single" w:sz="4" w:space="0" w:color="auto"/>
              <w:right w:val="single" w:sz="4" w:space="0" w:color="auto"/>
            </w:tcBorders>
            <w:shd w:val="clear" w:color="auto" w:fill="auto"/>
            <w:noWrap/>
            <w:vAlign w:val="center"/>
            <w:hideMark/>
          </w:tcPr>
          <w:p w14:paraId="12485DF2"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2,411</w:t>
            </w:r>
          </w:p>
        </w:tc>
      </w:tr>
      <w:tr w:rsidR="0007573B" w:rsidRPr="00471310" w14:paraId="724111A5" w14:textId="77777777" w:rsidTr="006E4FF3">
        <w:trPr>
          <w:trHeight w:val="360"/>
        </w:trPr>
        <w:tc>
          <w:tcPr>
            <w:tcW w:w="2884" w:type="dxa"/>
            <w:tcBorders>
              <w:top w:val="nil"/>
              <w:left w:val="single" w:sz="4" w:space="0" w:color="auto"/>
              <w:bottom w:val="single" w:sz="4" w:space="0" w:color="auto"/>
              <w:right w:val="single" w:sz="4" w:space="0" w:color="auto"/>
            </w:tcBorders>
            <w:shd w:val="clear" w:color="auto" w:fill="auto"/>
            <w:vAlign w:val="center"/>
            <w:hideMark/>
          </w:tcPr>
          <w:p w14:paraId="6CCFB990" w14:textId="77777777" w:rsidR="0007573B" w:rsidRPr="00471310" w:rsidRDefault="0007573B" w:rsidP="006E4FF3">
            <w:pPr>
              <w:rPr>
                <w:rFonts w:ascii="Calibri" w:hAnsi="Calibri" w:cs="Calibri"/>
                <w:color w:val="000000"/>
                <w:szCs w:val="22"/>
              </w:rPr>
            </w:pPr>
            <w:r w:rsidRPr="00471310">
              <w:rPr>
                <w:rFonts w:ascii="Calibri" w:hAnsi="Calibri"/>
                <w:color w:val="000000"/>
                <w:szCs w:val="22"/>
              </w:rPr>
              <w:t>OSTDS - Construction</w:t>
            </w:r>
          </w:p>
        </w:tc>
        <w:tc>
          <w:tcPr>
            <w:tcW w:w="990" w:type="dxa"/>
            <w:tcBorders>
              <w:top w:val="nil"/>
              <w:left w:val="nil"/>
              <w:bottom w:val="single" w:sz="4" w:space="0" w:color="auto"/>
              <w:right w:val="single" w:sz="4" w:space="0" w:color="auto"/>
            </w:tcBorders>
            <w:shd w:val="clear" w:color="auto" w:fill="auto"/>
            <w:vAlign w:val="center"/>
            <w:hideMark/>
          </w:tcPr>
          <w:p w14:paraId="780ECA1C"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2,409</w:t>
            </w:r>
          </w:p>
        </w:tc>
        <w:tc>
          <w:tcPr>
            <w:tcW w:w="1080" w:type="dxa"/>
            <w:tcBorders>
              <w:top w:val="nil"/>
              <w:left w:val="nil"/>
              <w:bottom w:val="single" w:sz="4" w:space="0" w:color="auto"/>
              <w:right w:val="single" w:sz="4" w:space="0" w:color="auto"/>
            </w:tcBorders>
            <w:shd w:val="clear" w:color="auto" w:fill="auto"/>
            <w:noWrap/>
            <w:vAlign w:val="center"/>
            <w:hideMark/>
          </w:tcPr>
          <w:p w14:paraId="6A6C9DAA"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4,575</w:t>
            </w:r>
          </w:p>
        </w:tc>
        <w:tc>
          <w:tcPr>
            <w:tcW w:w="1080" w:type="dxa"/>
            <w:tcBorders>
              <w:top w:val="nil"/>
              <w:left w:val="nil"/>
              <w:bottom w:val="single" w:sz="4" w:space="0" w:color="auto"/>
              <w:right w:val="single" w:sz="4" w:space="0" w:color="auto"/>
            </w:tcBorders>
            <w:shd w:val="clear" w:color="auto" w:fill="auto"/>
            <w:noWrap/>
            <w:vAlign w:val="center"/>
            <w:hideMark/>
          </w:tcPr>
          <w:p w14:paraId="63E96895"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6,100</w:t>
            </w:r>
          </w:p>
        </w:tc>
        <w:tc>
          <w:tcPr>
            <w:tcW w:w="1351" w:type="dxa"/>
            <w:tcBorders>
              <w:top w:val="nil"/>
              <w:left w:val="nil"/>
              <w:bottom w:val="single" w:sz="4" w:space="0" w:color="auto"/>
              <w:right w:val="single" w:sz="4" w:space="0" w:color="auto"/>
            </w:tcBorders>
            <w:shd w:val="clear" w:color="auto" w:fill="auto"/>
            <w:noWrap/>
            <w:vAlign w:val="center"/>
            <w:hideMark/>
          </w:tcPr>
          <w:p w14:paraId="0C5E1691"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8,419</w:t>
            </w:r>
          </w:p>
        </w:tc>
        <w:tc>
          <w:tcPr>
            <w:tcW w:w="1080" w:type="dxa"/>
            <w:tcBorders>
              <w:top w:val="nil"/>
              <w:left w:val="nil"/>
              <w:bottom w:val="single" w:sz="4" w:space="0" w:color="auto"/>
              <w:right w:val="single" w:sz="4" w:space="0" w:color="auto"/>
            </w:tcBorders>
            <w:shd w:val="clear" w:color="auto" w:fill="auto"/>
            <w:noWrap/>
            <w:vAlign w:val="center"/>
            <w:hideMark/>
          </w:tcPr>
          <w:p w14:paraId="10946483"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612</w:t>
            </w:r>
          </w:p>
        </w:tc>
        <w:tc>
          <w:tcPr>
            <w:tcW w:w="990" w:type="dxa"/>
            <w:tcBorders>
              <w:top w:val="nil"/>
              <w:left w:val="nil"/>
              <w:bottom w:val="single" w:sz="4" w:space="0" w:color="auto"/>
              <w:right w:val="single" w:sz="4" w:space="0" w:color="auto"/>
            </w:tcBorders>
            <w:shd w:val="clear" w:color="auto" w:fill="auto"/>
            <w:noWrap/>
            <w:vAlign w:val="center"/>
            <w:hideMark/>
          </w:tcPr>
          <w:p w14:paraId="27E0B308"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22,115</w:t>
            </w:r>
          </w:p>
        </w:tc>
      </w:tr>
      <w:tr w:rsidR="0007573B" w:rsidRPr="00471310" w14:paraId="65DA17E7" w14:textId="77777777" w:rsidTr="006E4FF3">
        <w:trPr>
          <w:trHeight w:val="360"/>
        </w:trPr>
        <w:tc>
          <w:tcPr>
            <w:tcW w:w="2884" w:type="dxa"/>
            <w:tcBorders>
              <w:top w:val="nil"/>
              <w:left w:val="single" w:sz="4" w:space="0" w:color="auto"/>
              <w:bottom w:val="single" w:sz="4" w:space="0" w:color="auto"/>
              <w:right w:val="single" w:sz="4" w:space="0" w:color="auto"/>
            </w:tcBorders>
            <w:shd w:val="clear" w:color="auto" w:fill="auto"/>
            <w:vAlign w:val="center"/>
            <w:hideMark/>
          </w:tcPr>
          <w:p w14:paraId="454EDBAE" w14:textId="77777777" w:rsidR="0007573B" w:rsidRPr="00471310" w:rsidRDefault="0007573B" w:rsidP="006E4FF3">
            <w:pPr>
              <w:rPr>
                <w:rFonts w:ascii="Calibri" w:hAnsi="Calibri" w:cs="Calibri"/>
                <w:color w:val="000000"/>
                <w:szCs w:val="22"/>
              </w:rPr>
            </w:pPr>
            <w:r w:rsidRPr="00471310">
              <w:rPr>
                <w:rFonts w:ascii="Calibri" w:hAnsi="Calibri"/>
                <w:color w:val="000000"/>
                <w:szCs w:val="22"/>
              </w:rPr>
              <w:t>OSTDS - Service &amp; Operating</w:t>
            </w:r>
          </w:p>
        </w:tc>
        <w:tc>
          <w:tcPr>
            <w:tcW w:w="990" w:type="dxa"/>
            <w:tcBorders>
              <w:top w:val="nil"/>
              <w:left w:val="nil"/>
              <w:bottom w:val="single" w:sz="4" w:space="0" w:color="auto"/>
              <w:right w:val="single" w:sz="4" w:space="0" w:color="auto"/>
            </w:tcBorders>
            <w:shd w:val="clear" w:color="auto" w:fill="auto"/>
            <w:vAlign w:val="center"/>
            <w:hideMark/>
          </w:tcPr>
          <w:p w14:paraId="7D4E7C0C"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113</w:t>
            </w:r>
          </w:p>
        </w:tc>
        <w:tc>
          <w:tcPr>
            <w:tcW w:w="1080" w:type="dxa"/>
            <w:tcBorders>
              <w:top w:val="nil"/>
              <w:left w:val="nil"/>
              <w:bottom w:val="single" w:sz="4" w:space="0" w:color="auto"/>
              <w:right w:val="single" w:sz="4" w:space="0" w:color="auto"/>
            </w:tcBorders>
            <w:shd w:val="clear" w:color="auto" w:fill="auto"/>
            <w:noWrap/>
            <w:vAlign w:val="center"/>
            <w:hideMark/>
          </w:tcPr>
          <w:p w14:paraId="46F9D065"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2,737</w:t>
            </w:r>
          </w:p>
        </w:tc>
        <w:tc>
          <w:tcPr>
            <w:tcW w:w="1080" w:type="dxa"/>
            <w:tcBorders>
              <w:top w:val="nil"/>
              <w:left w:val="nil"/>
              <w:bottom w:val="single" w:sz="4" w:space="0" w:color="auto"/>
              <w:right w:val="single" w:sz="4" w:space="0" w:color="auto"/>
            </w:tcBorders>
            <w:shd w:val="clear" w:color="auto" w:fill="auto"/>
            <w:noWrap/>
            <w:vAlign w:val="center"/>
            <w:hideMark/>
          </w:tcPr>
          <w:p w14:paraId="78BC8C3A"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809</w:t>
            </w:r>
          </w:p>
        </w:tc>
        <w:tc>
          <w:tcPr>
            <w:tcW w:w="1351" w:type="dxa"/>
            <w:tcBorders>
              <w:top w:val="nil"/>
              <w:left w:val="nil"/>
              <w:bottom w:val="single" w:sz="4" w:space="0" w:color="auto"/>
              <w:right w:val="single" w:sz="4" w:space="0" w:color="auto"/>
            </w:tcBorders>
            <w:shd w:val="clear" w:color="auto" w:fill="auto"/>
            <w:noWrap/>
            <w:vAlign w:val="center"/>
            <w:hideMark/>
          </w:tcPr>
          <w:p w14:paraId="745C8F98"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5,815</w:t>
            </w:r>
          </w:p>
        </w:tc>
        <w:tc>
          <w:tcPr>
            <w:tcW w:w="1080" w:type="dxa"/>
            <w:tcBorders>
              <w:top w:val="nil"/>
              <w:left w:val="nil"/>
              <w:bottom w:val="single" w:sz="4" w:space="0" w:color="auto"/>
              <w:right w:val="single" w:sz="4" w:space="0" w:color="auto"/>
            </w:tcBorders>
            <w:shd w:val="clear" w:color="auto" w:fill="auto"/>
            <w:noWrap/>
            <w:vAlign w:val="center"/>
            <w:hideMark/>
          </w:tcPr>
          <w:p w14:paraId="1DFDA43F"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27</w:t>
            </w:r>
          </w:p>
        </w:tc>
        <w:tc>
          <w:tcPr>
            <w:tcW w:w="990" w:type="dxa"/>
            <w:tcBorders>
              <w:top w:val="nil"/>
              <w:left w:val="nil"/>
              <w:bottom w:val="single" w:sz="4" w:space="0" w:color="auto"/>
              <w:right w:val="single" w:sz="4" w:space="0" w:color="auto"/>
            </w:tcBorders>
            <w:shd w:val="clear" w:color="auto" w:fill="auto"/>
            <w:noWrap/>
            <w:vAlign w:val="center"/>
            <w:hideMark/>
          </w:tcPr>
          <w:p w14:paraId="2692B943"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9,501</w:t>
            </w:r>
          </w:p>
        </w:tc>
      </w:tr>
      <w:tr w:rsidR="0007573B" w:rsidRPr="00471310" w14:paraId="364627CB" w14:textId="77777777" w:rsidTr="006E4FF3">
        <w:trPr>
          <w:trHeight w:val="360"/>
        </w:trPr>
        <w:tc>
          <w:tcPr>
            <w:tcW w:w="2884" w:type="dxa"/>
            <w:tcBorders>
              <w:top w:val="nil"/>
              <w:left w:val="single" w:sz="4" w:space="0" w:color="auto"/>
              <w:bottom w:val="single" w:sz="4" w:space="0" w:color="auto"/>
              <w:right w:val="single" w:sz="4" w:space="0" w:color="auto"/>
            </w:tcBorders>
            <w:shd w:val="clear" w:color="auto" w:fill="auto"/>
            <w:vAlign w:val="center"/>
            <w:hideMark/>
          </w:tcPr>
          <w:p w14:paraId="7AD3ED94" w14:textId="77777777" w:rsidR="0007573B" w:rsidRPr="00471310" w:rsidRDefault="0007573B" w:rsidP="006E4FF3">
            <w:pPr>
              <w:rPr>
                <w:rFonts w:ascii="Calibri" w:hAnsi="Calibri" w:cs="Calibri"/>
                <w:color w:val="000000"/>
                <w:szCs w:val="22"/>
              </w:rPr>
            </w:pPr>
            <w:r w:rsidRPr="00471310">
              <w:rPr>
                <w:rFonts w:ascii="Calibri" w:hAnsi="Calibri"/>
                <w:color w:val="000000"/>
                <w:szCs w:val="22"/>
              </w:rPr>
              <w:t>Rabies</w:t>
            </w:r>
          </w:p>
        </w:tc>
        <w:tc>
          <w:tcPr>
            <w:tcW w:w="990" w:type="dxa"/>
            <w:tcBorders>
              <w:top w:val="nil"/>
              <w:left w:val="nil"/>
              <w:bottom w:val="single" w:sz="4" w:space="0" w:color="auto"/>
              <w:right w:val="single" w:sz="4" w:space="0" w:color="auto"/>
            </w:tcBorders>
            <w:shd w:val="clear" w:color="auto" w:fill="auto"/>
            <w:vAlign w:val="center"/>
            <w:hideMark/>
          </w:tcPr>
          <w:p w14:paraId="2F4E3FDA"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130</w:t>
            </w:r>
          </w:p>
        </w:tc>
        <w:tc>
          <w:tcPr>
            <w:tcW w:w="1080" w:type="dxa"/>
            <w:tcBorders>
              <w:top w:val="nil"/>
              <w:left w:val="nil"/>
              <w:bottom w:val="single" w:sz="4" w:space="0" w:color="auto"/>
              <w:right w:val="single" w:sz="4" w:space="0" w:color="auto"/>
            </w:tcBorders>
            <w:shd w:val="clear" w:color="auto" w:fill="auto"/>
            <w:noWrap/>
            <w:vAlign w:val="center"/>
            <w:hideMark/>
          </w:tcPr>
          <w:p w14:paraId="67F4560D"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416</w:t>
            </w:r>
          </w:p>
        </w:tc>
        <w:tc>
          <w:tcPr>
            <w:tcW w:w="1080" w:type="dxa"/>
            <w:tcBorders>
              <w:top w:val="nil"/>
              <w:left w:val="nil"/>
              <w:bottom w:val="single" w:sz="4" w:space="0" w:color="auto"/>
              <w:right w:val="single" w:sz="4" w:space="0" w:color="auto"/>
            </w:tcBorders>
            <w:shd w:val="clear" w:color="000000" w:fill="A6A6A6"/>
            <w:noWrap/>
            <w:vAlign w:val="center"/>
            <w:hideMark/>
          </w:tcPr>
          <w:p w14:paraId="239611FB" w14:textId="77777777" w:rsidR="0007573B" w:rsidRPr="00471310" w:rsidRDefault="0007573B" w:rsidP="006E4FF3">
            <w:pPr>
              <w:rPr>
                <w:rFonts w:ascii="Calibri" w:hAnsi="Calibri" w:cs="Calibri"/>
                <w:color w:val="000000"/>
                <w:szCs w:val="22"/>
              </w:rPr>
            </w:pPr>
            <w:r w:rsidRPr="00471310">
              <w:rPr>
                <w:rFonts w:ascii="Calibri" w:hAnsi="Calibri" w:cs="Calibri"/>
                <w:color w:val="000000"/>
                <w:szCs w:val="22"/>
              </w:rPr>
              <w:t> </w:t>
            </w:r>
          </w:p>
        </w:tc>
        <w:tc>
          <w:tcPr>
            <w:tcW w:w="1351" w:type="dxa"/>
            <w:tcBorders>
              <w:top w:val="nil"/>
              <w:left w:val="nil"/>
              <w:bottom w:val="single" w:sz="4" w:space="0" w:color="auto"/>
              <w:right w:val="single" w:sz="4" w:space="0" w:color="auto"/>
            </w:tcBorders>
            <w:shd w:val="clear" w:color="000000" w:fill="A6A6A6"/>
            <w:noWrap/>
            <w:vAlign w:val="center"/>
            <w:hideMark/>
          </w:tcPr>
          <w:p w14:paraId="4F3C9B2E" w14:textId="77777777" w:rsidR="0007573B" w:rsidRPr="00471310" w:rsidRDefault="0007573B" w:rsidP="006E4FF3">
            <w:pPr>
              <w:rPr>
                <w:rFonts w:ascii="Calibri" w:hAnsi="Calibri" w:cs="Calibri"/>
                <w:color w:val="000000"/>
                <w:szCs w:val="22"/>
              </w:rPr>
            </w:pPr>
            <w:r w:rsidRPr="00471310">
              <w:rPr>
                <w:rFonts w:ascii="Calibri" w:hAnsi="Calibri" w:cs="Calibri"/>
                <w:color w:val="000000"/>
                <w:szCs w:val="22"/>
              </w:rPr>
              <w:t> </w:t>
            </w:r>
          </w:p>
        </w:tc>
        <w:tc>
          <w:tcPr>
            <w:tcW w:w="1080" w:type="dxa"/>
            <w:tcBorders>
              <w:top w:val="nil"/>
              <w:left w:val="nil"/>
              <w:bottom w:val="single" w:sz="4" w:space="0" w:color="auto"/>
              <w:right w:val="single" w:sz="4" w:space="0" w:color="auto"/>
            </w:tcBorders>
            <w:shd w:val="clear" w:color="auto" w:fill="auto"/>
            <w:noWrap/>
            <w:vAlign w:val="center"/>
            <w:hideMark/>
          </w:tcPr>
          <w:p w14:paraId="631A1B1C"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72</w:t>
            </w:r>
          </w:p>
        </w:tc>
        <w:tc>
          <w:tcPr>
            <w:tcW w:w="990" w:type="dxa"/>
            <w:tcBorders>
              <w:top w:val="nil"/>
              <w:left w:val="nil"/>
              <w:bottom w:val="single" w:sz="4" w:space="0" w:color="auto"/>
              <w:right w:val="single" w:sz="4" w:space="0" w:color="auto"/>
            </w:tcBorders>
            <w:shd w:val="clear" w:color="auto" w:fill="auto"/>
            <w:noWrap/>
            <w:vAlign w:val="center"/>
            <w:hideMark/>
          </w:tcPr>
          <w:p w14:paraId="7B8EF47C"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618</w:t>
            </w:r>
          </w:p>
        </w:tc>
      </w:tr>
      <w:tr w:rsidR="0007573B" w:rsidRPr="00471310" w14:paraId="4F9B7027" w14:textId="77777777" w:rsidTr="006E4FF3">
        <w:trPr>
          <w:trHeight w:val="360"/>
        </w:trPr>
        <w:tc>
          <w:tcPr>
            <w:tcW w:w="2884" w:type="dxa"/>
            <w:tcBorders>
              <w:top w:val="nil"/>
              <w:left w:val="single" w:sz="4" w:space="0" w:color="auto"/>
              <w:bottom w:val="single" w:sz="4" w:space="0" w:color="auto"/>
              <w:right w:val="single" w:sz="4" w:space="0" w:color="auto"/>
            </w:tcBorders>
            <w:shd w:val="clear" w:color="auto" w:fill="auto"/>
            <w:vAlign w:val="center"/>
            <w:hideMark/>
          </w:tcPr>
          <w:p w14:paraId="3C715C35" w14:textId="77777777" w:rsidR="0007573B" w:rsidRPr="00471310" w:rsidRDefault="0007573B" w:rsidP="006E4FF3">
            <w:pPr>
              <w:rPr>
                <w:rFonts w:ascii="Calibri" w:hAnsi="Calibri" w:cs="Calibri"/>
                <w:color w:val="000000"/>
                <w:szCs w:val="22"/>
              </w:rPr>
            </w:pPr>
            <w:r w:rsidRPr="00471310">
              <w:rPr>
                <w:rFonts w:ascii="Calibri" w:hAnsi="Calibri"/>
                <w:color w:val="000000"/>
                <w:szCs w:val="22"/>
              </w:rPr>
              <w:t>Swimming Pools</w:t>
            </w:r>
          </w:p>
        </w:tc>
        <w:tc>
          <w:tcPr>
            <w:tcW w:w="990" w:type="dxa"/>
            <w:tcBorders>
              <w:top w:val="nil"/>
              <w:left w:val="nil"/>
              <w:bottom w:val="single" w:sz="4" w:space="0" w:color="auto"/>
              <w:right w:val="single" w:sz="4" w:space="0" w:color="auto"/>
            </w:tcBorders>
            <w:shd w:val="clear" w:color="auto" w:fill="auto"/>
            <w:vAlign w:val="center"/>
            <w:hideMark/>
          </w:tcPr>
          <w:p w14:paraId="63EB1F57"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130</w:t>
            </w:r>
          </w:p>
        </w:tc>
        <w:tc>
          <w:tcPr>
            <w:tcW w:w="1080" w:type="dxa"/>
            <w:tcBorders>
              <w:top w:val="nil"/>
              <w:left w:val="nil"/>
              <w:bottom w:val="single" w:sz="4" w:space="0" w:color="auto"/>
              <w:right w:val="single" w:sz="4" w:space="0" w:color="auto"/>
            </w:tcBorders>
            <w:shd w:val="clear" w:color="auto" w:fill="auto"/>
            <w:noWrap/>
            <w:vAlign w:val="center"/>
            <w:hideMark/>
          </w:tcPr>
          <w:p w14:paraId="4E1E2E63"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5,103</w:t>
            </w:r>
          </w:p>
        </w:tc>
        <w:tc>
          <w:tcPr>
            <w:tcW w:w="1080" w:type="dxa"/>
            <w:tcBorders>
              <w:top w:val="nil"/>
              <w:left w:val="nil"/>
              <w:bottom w:val="single" w:sz="4" w:space="0" w:color="auto"/>
              <w:right w:val="single" w:sz="4" w:space="0" w:color="auto"/>
            </w:tcBorders>
            <w:shd w:val="clear" w:color="auto" w:fill="auto"/>
            <w:noWrap/>
            <w:vAlign w:val="center"/>
            <w:hideMark/>
          </w:tcPr>
          <w:p w14:paraId="76E66760"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1,496</w:t>
            </w:r>
          </w:p>
        </w:tc>
        <w:tc>
          <w:tcPr>
            <w:tcW w:w="1351" w:type="dxa"/>
            <w:tcBorders>
              <w:top w:val="nil"/>
              <w:left w:val="nil"/>
              <w:bottom w:val="single" w:sz="4" w:space="0" w:color="auto"/>
              <w:right w:val="single" w:sz="4" w:space="0" w:color="auto"/>
            </w:tcBorders>
            <w:shd w:val="clear" w:color="auto" w:fill="auto"/>
            <w:noWrap/>
            <w:vAlign w:val="center"/>
            <w:hideMark/>
          </w:tcPr>
          <w:p w14:paraId="0018BECC"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21,034</w:t>
            </w:r>
          </w:p>
        </w:tc>
        <w:tc>
          <w:tcPr>
            <w:tcW w:w="1080" w:type="dxa"/>
            <w:tcBorders>
              <w:top w:val="nil"/>
              <w:left w:val="nil"/>
              <w:bottom w:val="single" w:sz="4" w:space="0" w:color="auto"/>
              <w:right w:val="single" w:sz="4" w:space="0" w:color="auto"/>
            </w:tcBorders>
            <w:shd w:val="clear" w:color="auto" w:fill="auto"/>
            <w:noWrap/>
            <w:vAlign w:val="center"/>
            <w:hideMark/>
          </w:tcPr>
          <w:p w14:paraId="505C4165"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81</w:t>
            </w:r>
          </w:p>
        </w:tc>
        <w:tc>
          <w:tcPr>
            <w:tcW w:w="990" w:type="dxa"/>
            <w:tcBorders>
              <w:top w:val="nil"/>
              <w:left w:val="nil"/>
              <w:bottom w:val="single" w:sz="4" w:space="0" w:color="auto"/>
              <w:right w:val="single" w:sz="4" w:space="0" w:color="auto"/>
            </w:tcBorders>
            <w:shd w:val="clear" w:color="auto" w:fill="auto"/>
            <w:noWrap/>
            <w:vAlign w:val="center"/>
            <w:hideMark/>
          </w:tcPr>
          <w:p w14:paraId="7E459CC0"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27,844</w:t>
            </w:r>
          </w:p>
        </w:tc>
      </w:tr>
      <w:tr w:rsidR="0007573B" w:rsidRPr="00471310" w14:paraId="532170A7" w14:textId="77777777" w:rsidTr="006E4FF3">
        <w:trPr>
          <w:trHeight w:val="360"/>
        </w:trPr>
        <w:tc>
          <w:tcPr>
            <w:tcW w:w="2884" w:type="dxa"/>
            <w:tcBorders>
              <w:top w:val="nil"/>
              <w:left w:val="single" w:sz="4" w:space="0" w:color="auto"/>
              <w:bottom w:val="single" w:sz="4" w:space="0" w:color="auto"/>
              <w:right w:val="single" w:sz="4" w:space="0" w:color="auto"/>
            </w:tcBorders>
            <w:shd w:val="clear" w:color="auto" w:fill="auto"/>
            <w:vAlign w:val="center"/>
            <w:hideMark/>
          </w:tcPr>
          <w:p w14:paraId="192A727E" w14:textId="77777777" w:rsidR="0007573B" w:rsidRPr="00471310" w:rsidRDefault="0007573B" w:rsidP="006E4FF3">
            <w:pPr>
              <w:rPr>
                <w:rFonts w:ascii="Calibri" w:hAnsi="Calibri" w:cs="Calibri"/>
                <w:color w:val="000000"/>
                <w:szCs w:val="22"/>
              </w:rPr>
            </w:pPr>
            <w:r w:rsidRPr="00471310">
              <w:rPr>
                <w:rFonts w:ascii="Calibri" w:hAnsi="Calibri"/>
                <w:color w:val="000000"/>
                <w:szCs w:val="22"/>
              </w:rPr>
              <w:t>Tanning</w:t>
            </w:r>
          </w:p>
        </w:tc>
        <w:tc>
          <w:tcPr>
            <w:tcW w:w="990" w:type="dxa"/>
            <w:tcBorders>
              <w:top w:val="nil"/>
              <w:left w:val="nil"/>
              <w:bottom w:val="single" w:sz="4" w:space="0" w:color="auto"/>
              <w:right w:val="single" w:sz="4" w:space="0" w:color="auto"/>
            </w:tcBorders>
            <w:shd w:val="clear" w:color="auto" w:fill="auto"/>
            <w:vAlign w:val="center"/>
            <w:hideMark/>
          </w:tcPr>
          <w:p w14:paraId="0C771BF3"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11</w:t>
            </w:r>
          </w:p>
        </w:tc>
        <w:tc>
          <w:tcPr>
            <w:tcW w:w="1080" w:type="dxa"/>
            <w:tcBorders>
              <w:top w:val="nil"/>
              <w:left w:val="nil"/>
              <w:bottom w:val="single" w:sz="4" w:space="0" w:color="auto"/>
              <w:right w:val="single" w:sz="4" w:space="0" w:color="auto"/>
            </w:tcBorders>
            <w:shd w:val="clear" w:color="auto" w:fill="auto"/>
            <w:noWrap/>
            <w:vAlign w:val="center"/>
            <w:hideMark/>
          </w:tcPr>
          <w:p w14:paraId="5077FA64"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176</w:t>
            </w:r>
          </w:p>
        </w:tc>
        <w:tc>
          <w:tcPr>
            <w:tcW w:w="1080" w:type="dxa"/>
            <w:tcBorders>
              <w:top w:val="nil"/>
              <w:left w:val="nil"/>
              <w:bottom w:val="single" w:sz="4" w:space="0" w:color="auto"/>
              <w:right w:val="single" w:sz="4" w:space="0" w:color="auto"/>
            </w:tcBorders>
            <w:shd w:val="clear" w:color="auto" w:fill="auto"/>
            <w:noWrap/>
            <w:vAlign w:val="center"/>
            <w:hideMark/>
          </w:tcPr>
          <w:p w14:paraId="25CDA240"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53</w:t>
            </w:r>
          </w:p>
        </w:tc>
        <w:tc>
          <w:tcPr>
            <w:tcW w:w="1351" w:type="dxa"/>
            <w:tcBorders>
              <w:top w:val="nil"/>
              <w:left w:val="nil"/>
              <w:bottom w:val="single" w:sz="4" w:space="0" w:color="auto"/>
              <w:right w:val="single" w:sz="4" w:space="0" w:color="auto"/>
            </w:tcBorders>
            <w:shd w:val="clear" w:color="auto" w:fill="auto"/>
            <w:noWrap/>
            <w:vAlign w:val="center"/>
            <w:hideMark/>
          </w:tcPr>
          <w:p w14:paraId="5CD63582"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214</w:t>
            </w:r>
          </w:p>
        </w:tc>
        <w:tc>
          <w:tcPr>
            <w:tcW w:w="1080" w:type="dxa"/>
            <w:tcBorders>
              <w:top w:val="nil"/>
              <w:left w:val="nil"/>
              <w:bottom w:val="single" w:sz="4" w:space="0" w:color="auto"/>
              <w:right w:val="single" w:sz="4" w:space="0" w:color="auto"/>
            </w:tcBorders>
            <w:shd w:val="clear" w:color="auto" w:fill="auto"/>
            <w:noWrap/>
            <w:vAlign w:val="center"/>
            <w:hideMark/>
          </w:tcPr>
          <w:p w14:paraId="20CFA846"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6</w:t>
            </w:r>
          </w:p>
        </w:tc>
        <w:tc>
          <w:tcPr>
            <w:tcW w:w="990" w:type="dxa"/>
            <w:tcBorders>
              <w:top w:val="nil"/>
              <w:left w:val="nil"/>
              <w:bottom w:val="single" w:sz="4" w:space="0" w:color="auto"/>
              <w:right w:val="single" w:sz="4" w:space="0" w:color="auto"/>
            </w:tcBorders>
            <w:shd w:val="clear" w:color="auto" w:fill="auto"/>
            <w:noWrap/>
            <w:vAlign w:val="center"/>
            <w:hideMark/>
          </w:tcPr>
          <w:p w14:paraId="59775C6C"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460</w:t>
            </w:r>
          </w:p>
        </w:tc>
      </w:tr>
      <w:tr w:rsidR="0007573B" w:rsidRPr="00471310" w14:paraId="540F774D" w14:textId="77777777" w:rsidTr="006E4FF3">
        <w:trPr>
          <w:trHeight w:val="360"/>
        </w:trPr>
        <w:tc>
          <w:tcPr>
            <w:tcW w:w="2884" w:type="dxa"/>
            <w:tcBorders>
              <w:top w:val="nil"/>
              <w:left w:val="single" w:sz="4" w:space="0" w:color="auto"/>
              <w:bottom w:val="single" w:sz="4" w:space="0" w:color="auto"/>
              <w:right w:val="single" w:sz="4" w:space="0" w:color="auto"/>
            </w:tcBorders>
            <w:shd w:val="clear" w:color="auto" w:fill="auto"/>
            <w:vAlign w:val="center"/>
            <w:hideMark/>
          </w:tcPr>
          <w:p w14:paraId="44EB9334" w14:textId="77777777" w:rsidR="0007573B" w:rsidRPr="00471310" w:rsidRDefault="0007573B" w:rsidP="006E4FF3">
            <w:pPr>
              <w:rPr>
                <w:rFonts w:ascii="Calibri" w:hAnsi="Calibri" w:cs="Calibri"/>
                <w:color w:val="000000"/>
                <w:szCs w:val="22"/>
              </w:rPr>
            </w:pPr>
            <w:r w:rsidRPr="00471310">
              <w:rPr>
                <w:rFonts w:ascii="Calibri" w:hAnsi="Calibri"/>
                <w:color w:val="000000"/>
                <w:szCs w:val="22"/>
              </w:rPr>
              <w:t>Tattoos</w:t>
            </w:r>
          </w:p>
        </w:tc>
        <w:tc>
          <w:tcPr>
            <w:tcW w:w="990" w:type="dxa"/>
            <w:tcBorders>
              <w:top w:val="nil"/>
              <w:left w:val="nil"/>
              <w:bottom w:val="single" w:sz="4" w:space="0" w:color="auto"/>
              <w:right w:val="single" w:sz="4" w:space="0" w:color="auto"/>
            </w:tcBorders>
            <w:shd w:val="clear" w:color="auto" w:fill="auto"/>
            <w:vAlign w:val="center"/>
            <w:hideMark/>
          </w:tcPr>
          <w:p w14:paraId="1C7B183F"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35</w:t>
            </w:r>
          </w:p>
        </w:tc>
        <w:tc>
          <w:tcPr>
            <w:tcW w:w="1080" w:type="dxa"/>
            <w:tcBorders>
              <w:top w:val="nil"/>
              <w:left w:val="nil"/>
              <w:bottom w:val="single" w:sz="4" w:space="0" w:color="auto"/>
              <w:right w:val="single" w:sz="4" w:space="0" w:color="auto"/>
            </w:tcBorders>
            <w:shd w:val="clear" w:color="auto" w:fill="auto"/>
            <w:noWrap/>
            <w:vAlign w:val="center"/>
            <w:hideMark/>
          </w:tcPr>
          <w:p w14:paraId="395DE102"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856</w:t>
            </w:r>
          </w:p>
        </w:tc>
        <w:tc>
          <w:tcPr>
            <w:tcW w:w="1080" w:type="dxa"/>
            <w:tcBorders>
              <w:top w:val="nil"/>
              <w:left w:val="nil"/>
              <w:bottom w:val="single" w:sz="4" w:space="0" w:color="auto"/>
              <w:right w:val="single" w:sz="4" w:space="0" w:color="auto"/>
            </w:tcBorders>
            <w:shd w:val="clear" w:color="auto" w:fill="auto"/>
            <w:noWrap/>
            <w:vAlign w:val="center"/>
            <w:hideMark/>
          </w:tcPr>
          <w:p w14:paraId="618DE570"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167</w:t>
            </w:r>
          </w:p>
        </w:tc>
        <w:tc>
          <w:tcPr>
            <w:tcW w:w="1351" w:type="dxa"/>
            <w:tcBorders>
              <w:top w:val="nil"/>
              <w:left w:val="nil"/>
              <w:bottom w:val="single" w:sz="4" w:space="0" w:color="auto"/>
              <w:right w:val="single" w:sz="4" w:space="0" w:color="auto"/>
            </w:tcBorders>
            <w:shd w:val="clear" w:color="auto" w:fill="auto"/>
            <w:noWrap/>
            <w:vAlign w:val="center"/>
            <w:hideMark/>
          </w:tcPr>
          <w:p w14:paraId="1BA7E01E"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74</w:t>
            </w:r>
          </w:p>
        </w:tc>
        <w:tc>
          <w:tcPr>
            <w:tcW w:w="1080" w:type="dxa"/>
            <w:tcBorders>
              <w:top w:val="nil"/>
              <w:left w:val="nil"/>
              <w:bottom w:val="single" w:sz="4" w:space="0" w:color="auto"/>
              <w:right w:val="single" w:sz="4" w:space="0" w:color="auto"/>
            </w:tcBorders>
            <w:shd w:val="clear" w:color="auto" w:fill="auto"/>
            <w:noWrap/>
            <w:vAlign w:val="center"/>
            <w:hideMark/>
          </w:tcPr>
          <w:p w14:paraId="124D9DFE"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13</w:t>
            </w:r>
          </w:p>
        </w:tc>
        <w:tc>
          <w:tcPr>
            <w:tcW w:w="990" w:type="dxa"/>
            <w:tcBorders>
              <w:top w:val="nil"/>
              <w:left w:val="nil"/>
              <w:bottom w:val="single" w:sz="4" w:space="0" w:color="auto"/>
              <w:right w:val="single" w:sz="4" w:space="0" w:color="auto"/>
            </w:tcBorders>
            <w:shd w:val="clear" w:color="auto" w:fill="auto"/>
            <w:noWrap/>
            <w:vAlign w:val="center"/>
            <w:hideMark/>
          </w:tcPr>
          <w:p w14:paraId="46B2CA80"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1,145</w:t>
            </w:r>
          </w:p>
        </w:tc>
      </w:tr>
      <w:tr w:rsidR="0007573B" w:rsidRPr="00471310" w14:paraId="5CE17E61" w14:textId="77777777" w:rsidTr="006E4FF3">
        <w:trPr>
          <w:trHeight w:val="360"/>
        </w:trPr>
        <w:tc>
          <w:tcPr>
            <w:tcW w:w="2884" w:type="dxa"/>
            <w:tcBorders>
              <w:top w:val="nil"/>
              <w:left w:val="single" w:sz="4" w:space="0" w:color="auto"/>
              <w:bottom w:val="single" w:sz="4" w:space="0" w:color="auto"/>
              <w:right w:val="single" w:sz="4" w:space="0" w:color="auto"/>
            </w:tcBorders>
            <w:shd w:val="clear" w:color="auto" w:fill="auto"/>
            <w:vAlign w:val="center"/>
            <w:hideMark/>
          </w:tcPr>
          <w:p w14:paraId="7060A6E7" w14:textId="77777777" w:rsidR="0007573B" w:rsidRPr="00471310" w:rsidRDefault="0007573B" w:rsidP="006E4FF3">
            <w:pPr>
              <w:rPr>
                <w:rFonts w:ascii="Calibri" w:hAnsi="Calibri" w:cs="Calibri"/>
                <w:color w:val="000000"/>
                <w:szCs w:val="22"/>
              </w:rPr>
            </w:pPr>
            <w:r w:rsidRPr="00471310">
              <w:rPr>
                <w:rFonts w:ascii="Calibri" w:hAnsi="Calibri"/>
                <w:color w:val="000000"/>
                <w:szCs w:val="22"/>
              </w:rPr>
              <w:t>Nuisance Complaints</w:t>
            </w:r>
          </w:p>
        </w:tc>
        <w:tc>
          <w:tcPr>
            <w:tcW w:w="990" w:type="dxa"/>
            <w:tcBorders>
              <w:top w:val="nil"/>
              <w:left w:val="nil"/>
              <w:bottom w:val="single" w:sz="4" w:space="0" w:color="auto"/>
              <w:right w:val="single" w:sz="4" w:space="0" w:color="auto"/>
            </w:tcBorders>
            <w:shd w:val="clear" w:color="auto" w:fill="auto"/>
            <w:noWrap/>
            <w:vAlign w:val="center"/>
            <w:hideMark/>
          </w:tcPr>
          <w:p w14:paraId="46EFD544"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769</w:t>
            </w:r>
          </w:p>
        </w:tc>
        <w:tc>
          <w:tcPr>
            <w:tcW w:w="1080" w:type="dxa"/>
            <w:tcBorders>
              <w:top w:val="nil"/>
              <w:left w:val="nil"/>
              <w:bottom w:val="single" w:sz="4" w:space="0" w:color="auto"/>
              <w:right w:val="single" w:sz="4" w:space="0" w:color="auto"/>
            </w:tcBorders>
            <w:shd w:val="clear" w:color="000000" w:fill="A6A6A6"/>
            <w:noWrap/>
            <w:vAlign w:val="center"/>
            <w:hideMark/>
          </w:tcPr>
          <w:p w14:paraId="79D57A86" w14:textId="77777777" w:rsidR="0007573B" w:rsidRPr="00471310" w:rsidRDefault="0007573B" w:rsidP="006E4FF3">
            <w:pPr>
              <w:rPr>
                <w:rFonts w:ascii="Calibri" w:hAnsi="Calibri" w:cs="Calibri"/>
                <w:color w:val="000000"/>
                <w:szCs w:val="22"/>
              </w:rPr>
            </w:pPr>
            <w:r w:rsidRPr="00471310">
              <w:rPr>
                <w:rFonts w:ascii="Calibri" w:hAnsi="Calibri"/>
                <w:color w:val="000000"/>
                <w:szCs w:val="22"/>
              </w:rPr>
              <w:t> </w:t>
            </w:r>
          </w:p>
        </w:tc>
        <w:tc>
          <w:tcPr>
            <w:tcW w:w="1080" w:type="dxa"/>
            <w:tcBorders>
              <w:top w:val="nil"/>
              <w:left w:val="nil"/>
              <w:bottom w:val="single" w:sz="4" w:space="0" w:color="auto"/>
              <w:right w:val="single" w:sz="4" w:space="0" w:color="auto"/>
            </w:tcBorders>
            <w:shd w:val="clear" w:color="000000" w:fill="A6A6A6"/>
            <w:noWrap/>
            <w:vAlign w:val="center"/>
            <w:hideMark/>
          </w:tcPr>
          <w:p w14:paraId="0DCA6B4E" w14:textId="77777777" w:rsidR="0007573B" w:rsidRPr="00471310" w:rsidRDefault="0007573B" w:rsidP="006E4FF3">
            <w:pPr>
              <w:rPr>
                <w:rFonts w:ascii="Calibri" w:hAnsi="Calibri" w:cs="Calibri"/>
                <w:color w:val="000000"/>
                <w:szCs w:val="22"/>
              </w:rPr>
            </w:pPr>
            <w:r w:rsidRPr="00471310">
              <w:rPr>
                <w:rFonts w:ascii="Calibri" w:hAnsi="Calibri"/>
                <w:color w:val="000000"/>
                <w:szCs w:val="22"/>
              </w:rPr>
              <w:t> </w:t>
            </w:r>
          </w:p>
        </w:tc>
        <w:tc>
          <w:tcPr>
            <w:tcW w:w="1351" w:type="dxa"/>
            <w:tcBorders>
              <w:top w:val="nil"/>
              <w:left w:val="nil"/>
              <w:bottom w:val="single" w:sz="4" w:space="0" w:color="auto"/>
              <w:right w:val="single" w:sz="4" w:space="0" w:color="auto"/>
            </w:tcBorders>
            <w:shd w:val="clear" w:color="000000" w:fill="A6A6A6"/>
            <w:noWrap/>
            <w:vAlign w:val="center"/>
            <w:hideMark/>
          </w:tcPr>
          <w:p w14:paraId="2983564B" w14:textId="77777777" w:rsidR="0007573B" w:rsidRPr="00471310" w:rsidRDefault="0007573B" w:rsidP="006E4FF3">
            <w:pPr>
              <w:rPr>
                <w:rFonts w:ascii="Calibri" w:hAnsi="Calibri" w:cs="Calibri"/>
                <w:color w:val="000000"/>
                <w:szCs w:val="22"/>
              </w:rPr>
            </w:pPr>
            <w:r w:rsidRPr="00471310">
              <w:rPr>
                <w:rFonts w:ascii="Calibri" w:hAnsi="Calibri" w:cs="Calibri"/>
                <w:color w:val="000000"/>
                <w:szCs w:val="22"/>
              </w:rPr>
              <w:t> </w:t>
            </w:r>
          </w:p>
        </w:tc>
        <w:tc>
          <w:tcPr>
            <w:tcW w:w="1080" w:type="dxa"/>
            <w:tcBorders>
              <w:top w:val="nil"/>
              <w:left w:val="nil"/>
              <w:bottom w:val="single" w:sz="4" w:space="0" w:color="auto"/>
              <w:right w:val="single" w:sz="4" w:space="0" w:color="auto"/>
            </w:tcBorders>
            <w:shd w:val="clear" w:color="auto" w:fill="auto"/>
            <w:noWrap/>
            <w:vAlign w:val="bottom"/>
            <w:hideMark/>
          </w:tcPr>
          <w:p w14:paraId="2E92559C" w14:textId="77777777" w:rsidR="0007573B" w:rsidRPr="00471310" w:rsidRDefault="0007573B" w:rsidP="006E4FF3">
            <w:pPr>
              <w:rPr>
                <w:rFonts w:ascii="Times New Roman" w:hAnsi="Times New Roman"/>
                <w:color w:val="000000"/>
                <w:sz w:val="20"/>
              </w:rPr>
            </w:pPr>
            <w:r w:rsidRPr="00471310">
              <w:rPr>
                <w:rFonts w:ascii="Times New Roman" w:hAnsi="Times New Roman"/>
                <w:color w:val="000000"/>
                <w:sz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3EEB1DC2"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769</w:t>
            </w:r>
          </w:p>
        </w:tc>
      </w:tr>
      <w:tr w:rsidR="0007573B" w:rsidRPr="00471310" w14:paraId="35873925" w14:textId="77777777" w:rsidTr="006E4FF3">
        <w:trPr>
          <w:trHeight w:val="161"/>
        </w:trPr>
        <w:tc>
          <w:tcPr>
            <w:tcW w:w="2884" w:type="dxa"/>
            <w:tcBorders>
              <w:top w:val="nil"/>
              <w:left w:val="single" w:sz="4" w:space="0" w:color="auto"/>
              <w:bottom w:val="single" w:sz="4" w:space="0" w:color="auto"/>
              <w:right w:val="single" w:sz="4" w:space="0" w:color="auto"/>
            </w:tcBorders>
            <w:shd w:val="clear" w:color="auto" w:fill="auto"/>
            <w:vAlign w:val="center"/>
            <w:hideMark/>
          </w:tcPr>
          <w:p w14:paraId="51BA4673" w14:textId="77777777" w:rsidR="0007573B" w:rsidRPr="00471310" w:rsidRDefault="0007573B" w:rsidP="006E4FF3">
            <w:pPr>
              <w:rPr>
                <w:rFonts w:ascii="Calibri" w:hAnsi="Calibri" w:cs="Calibri"/>
                <w:color w:val="000000"/>
                <w:szCs w:val="22"/>
              </w:rPr>
            </w:pPr>
            <w:r w:rsidRPr="00471310">
              <w:rPr>
                <w:rFonts w:ascii="Calibri" w:hAnsi="Calibri"/>
                <w:color w:val="000000"/>
                <w:szCs w:val="22"/>
              </w:rPr>
              <w:t> </w:t>
            </w:r>
          </w:p>
        </w:tc>
        <w:tc>
          <w:tcPr>
            <w:tcW w:w="990" w:type="dxa"/>
            <w:tcBorders>
              <w:top w:val="nil"/>
              <w:left w:val="nil"/>
              <w:bottom w:val="single" w:sz="4" w:space="0" w:color="auto"/>
              <w:right w:val="single" w:sz="4" w:space="0" w:color="auto"/>
            </w:tcBorders>
            <w:shd w:val="clear" w:color="auto" w:fill="auto"/>
            <w:vAlign w:val="center"/>
            <w:hideMark/>
          </w:tcPr>
          <w:p w14:paraId="722D833D"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5710B6B7" w14:textId="77777777" w:rsidR="0007573B" w:rsidRPr="00471310" w:rsidRDefault="0007573B" w:rsidP="006E4FF3">
            <w:pPr>
              <w:rPr>
                <w:rFonts w:ascii="Calibri" w:hAnsi="Calibri" w:cs="Calibri"/>
                <w:color w:val="000000"/>
                <w:szCs w:val="22"/>
              </w:rPr>
            </w:pPr>
            <w:r w:rsidRPr="00471310">
              <w:rPr>
                <w:rFonts w:ascii="Calibri" w:hAnsi="Calibri"/>
                <w:color w:val="000000"/>
                <w:szCs w:val="22"/>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373E788D" w14:textId="77777777" w:rsidR="0007573B" w:rsidRPr="00471310" w:rsidRDefault="0007573B" w:rsidP="006E4FF3">
            <w:pPr>
              <w:rPr>
                <w:rFonts w:ascii="Times New Roman" w:hAnsi="Times New Roman"/>
                <w:color w:val="000000"/>
                <w:sz w:val="20"/>
              </w:rPr>
            </w:pPr>
            <w:r w:rsidRPr="00471310">
              <w:rPr>
                <w:rFonts w:ascii="Times New Roman" w:hAnsi="Times New Roman"/>
                <w:color w:val="000000"/>
                <w:sz w:val="20"/>
              </w:rPr>
              <w:t> </w:t>
            </w:r>
          </w:p>
        </w:tc>
        <w:tc>
          <w:tcPr>
            <w:tcW w:w="1351" w:type="dxa"/>
            <w:tcBorders>
              <w:top w:val="nil"/>
              <w:left w:val="nil"/>
              <w:bottom w:val="single" w:sz="4" w:space="0" w:color="auto"/>
              <w:right w:val="single" w:sz="4" w:space="0" w:color="auto"/>
            </w:tcBorders>
            <w:shd w:val="clear" w:color="auto" w:fill="auto"/>
            <w:noWrap/>
            <w:vAlign w:val="center"/>
            <w:hideMark/>
          </w:tcPr>
          <w:p w14:paraId="72A38C8A" w14:textId="77777777" w:rsidR="0007573B" w:rsidRPr="00471310" w:rsidRDefault="0007573B" w:rsidP="006E4FF3">
            <w:pPr>
              <w:rPr>
                <w:rFonts w:ascii="Calibri" w:hAnsi="Calibri" w:cs="Calibri"/>
                <w:color w:val="000000"/>
                <w:szCs w:val="22"/>
              </w:rPr>
            </w:pPr>
            <w:r w:rsidRPr="00471310">
              <w:rPr>
                <w:rFonts w:ascii="Calibri" w:hAnsi="Calibri"/>
                <w:color w:val="000000"/>
                <w:szCs w:val="22"/>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075389BD" w14:textId="77777777" w:rsidR="0007573B" w:rsidRPr="00471310" w:rsidRDefault="0007573B" w:rsidP="006E4FF3">
            <w:pPr>
              <w:rPr>
                <w:rFonts w:ascii="Times New Roman" w:hAnsi="Times New Roman"/>
                <w:color w:val="000000"/>
                <w:sz w:val="20"/>
              </w:rPr>
            </w:pPr>
            <w:r w:rsidRPr="00471310">
              <w:rPr>
                <w:rFonts w:ascii="Times New Roman" w:hAnsi="Times New Roman"/>
                <w:color w:val="000000"/>
                <w:sz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2AD7D806" w14:textId="77777777" w:rsidR="0007573B" w:rsidRPr="00471310" w:rsidRDefault="0007573B" w:rsidP="006E4FF3">
            <w:pPr>
              <w:rPr>
                <w:rFonts w:ascii="Calibri" w:hAnsi="Calibri" w:cs="Calibri"/>
                <w:color w:val="000000"/>
                <w:szCs w:val="22"/>
              </w:rPr>
            </w:pPr>
            <w:r w:rsidRPr="00471310">
              <w:rPr>
                <w:rFonts w:ascii="Calibri" w:hAnsi="Calibri"/>
                <w:color w:val="000000"/>
                <w:szCs w:val="22"/>
              </w:rPr>
              <w:t> </w:t>
            </w:r>
          </w:p>
        </w:tc>
      </w:tr>
      <w:tr w:rsidR="0007573B" w:rsidRPr="00471310" w14:paraId="3187AE8A" w14:textId="77777777" w:rsidTr="006E4FF3">
        <w:trPr>
          <w:trHeight w:val="300"/>
        </w:trPr>
        <w:tc>
          <w:tcPr>
            <w:tcW w:w="2884" w:type="dxa"/>
            <w:tcBorders>
              <w:top w:val="nil"/>
              <w:left w:val="single" w:sz="4" w:space="0" w:color="auto"/>
              <w:bottom w:val="single" w:sz="4" w:space="0" w:color="auto"/>
              <w:right w:val="single" w:sz="4" w:space="0" w:color="auto"/>
            </w:tcBorders>
            <w:shd w:val="clear" w:color="auto" w:fill="auto"/>
            <w:vAlign w:val="center"/>
            <w:hideMark/>
          </w:tcPr>
          <w:p w14:paraId="1FA8078D" w14:textId="77777777" w:rsidR="0007573B" w:rsidRPr="00471310" w:rsidRDefault="0007573B" w:rsidP="006E4FF3">
            <w:pPr>
              <w:jc w:val="right"/>
              <w:rPr>
                <w:rFonts w:ascii="Calibri" w:hAnsi="Calibri" w:cs="Calibri"/>
                <w:b/>
                <w:bCs/>
                <w:color w:val="000000"/>
                <w:szCs w:val="22"/>
              </w:rPr>
            </w:pPr>
            <w:r w:rsidRPr="00471310">
              <w:rPr>
                <w:rFonts w:ascii="Calibri" w:hAnsi="Calibri"/>
                <w:b/>
                <w:bCs/>
                <w:color w:val="000000"/>
                <w:szCs w:val="22"/>
              </w:rPr>
              <w:t>TOTALS</w:t>
            </w:r>
          </w:p>
        </w:tc>
        <w:tc>
          <w:tcPr>
            <w:tcW w:w="990" w:type="dxa"/>
            <w:tcBorders>
              <w:top w:val="nil"/>
              <w:left w:val="nil"/>
              <w:bottom w:val="single" w:sz="4" w:space="0" w:color="auto"/>
              <w:right w:val="single" w:sz="4" w:space="0" w:color="auto"/>
            </w:tcBorders>
            <w:shd w:val="clear" w:color="000000" w:fill="CCECFF"/>
            <w:noWrap/>
            <w:vAlign w:val="center"/>
            <w:hideMark/>
          </w:tcPr>
          <w:p w14:paraId="0C366E2A"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4,374</w:t>
            </w:r>
          </w:p>
        </w:tc>
        <w:tc>
          <w:tcPr>
            <w:tcW w:w="1080" w:type="dxa"/>
            <w:tcBorders>
              <w:top w:val="nil"/>
              <w:left w:val="nil"/>
              <w:bottom w:val="single" w:sz="4" w:space="0" w:color="auto"/>
              <w:right w:val="single" w:sz="4" w:space="0" w:color="auto"/>
            </w:tcBorders>
            <w:shd w:val="clear" w:color="000000" w:fill="CCECFF"/>
            <w:noWrap/>
            <w:vAlign w:val="center"/>
            <w:hideMark/>
          </w:tcPr>
          <w:p w14:paraId="1F2CEEBE"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27,575</w:t>
            </w:r>
          </w:p>
        </w:tc>
        <w:tc>
          <w:tcPr>
            <w:tcW w:w="1080" w:type="dxa"/>
            <w:tcBorders>
              <w:top w:val="nil"/>
              <w:left w:val="nil"/>
              <w:bottom w:val="single" w:sz="4" w:space="0" w:color="auto"/>
              <w:right w:val="single" w:sz="4" w:space="0" w:color="auto"/>
            </w:tcBorders>
            <w:shd w:val="clear" w:color="000000" w:fill="CCECFF"/>
            <w:noWrap/>
            <w:vAlign w:val="center"/>
            <w:hideMark/>
          </w:tcPr>
          <w:p w14:paraId="19CFAC51"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12,398</w:t>
            </w:r>
          </w:p>
        </w:tc>
        <w:tc>
          <w:tcPr>
            <w:tcW w:w="1351" w:type="dxa"/>
            <w:tcBorders>
              <w:top w:val="nil"/>
              <w:left w:val="nil"/>
              <w:bottom w:val="single" w:sz="4" w:space="0" w:color="auto"/>
              <w:right w:val="single" w:sz="4" w:space="0" w:color="auto"/>
            </w:tcBorders>
            <w:shd w:val="clear" w:color="000000" w:fill="CCECFF"/>
            <w:noWrap/>
            <w:vAlign w:val="center"/>
            <w:hideMark/>
          </w:tcPr>
          <w:p w14:paraId="4F12693B"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48,781</w:t>
            </w:r>
          </w:p>
        </w:tc>
        <w:tc>
          <w:tcPr>
            <w:tcW w:w="1080" w:type="dxa"/>
            <w:tcBorders>
              <w:top w:val="nil"/>
              <w:left w:val="nil"/>
              <w:bottom w:val="single" w:sz="4" w:space="0" w:color="auto"/>
              <w:right w:val="single" w:sz="4" w:space="0" w:color="auto"/>
            </w:tcBorders>
            <w:shd w:val="clear" w:color="000000" w:fill="CCECFF"/>
            <w:noWrap/>
            <w:vAlign w:val="center"/>
            <w:hideMark/>
          </w:tcPr>
          <w:p w14:paraId="105BD30E"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1,154</w:t>
            </w:r>
          </w:p>
        </w:tc>
        <w:tc>
          <w:tcPr>
            <w:tcW w:w="990" w:type="dxa"/>
            <w:tcBorders>
              <w:top w:val="nil"/>
              <w:left w:val="nil"/>
              <w:bottom w:val="single" w:sz="4" w:space="0" w:color="auto"/>
              <w:right w:val="single" w:sz="4" w:space="0" w:color="auto"/>
            </w:tcBorders>
            <w:shd w:val="clear" w:color="000000" w:fill="CCECFF"/>
            <w:noWrap/>
            <w:vAlign w:val="center"/>
            <w:hideMark/>
          </w:tcPr>
          <w:p w14:paraId="2DBC72AA" w14:textId="77777777" w:rsidR="0007573B" w:rsidRPr="00471310" w:rsidRDefault="0007573B" w:rsidP="006E4FF3">
            <w:pPr>
              <w:jc w:val="right"/>
              <w:rPr>
                <w:rFonts w:ascii="Calibri" w:hAnsi="Calibri" w:cs="Calibri"/>
                <w:color w:val="000000"/>
                <w:szCs w:val="22"/>
              </w:rPr>
            </w:pPr>
            <w:r w:rsidRPr="00471310">
              <w:rPr>
                <w:rFonts w:ascii="Calibri" w:hAnsi="Calibri"/>
                <w:color w:val="000000"/>
                <w:szCs w:val="22"/>
              </w:rPr>
              <w:t>94,282</w:t>
            </w:r>
          </w:p>
        </w:tc>
      </w:tr>
      <w:bookmarkEnd w:id="2"/>
      <w:bookmarkEnd w:id="3"/>
    </w:tbl>
    <w:p w14:paraId="3D3FA240" w14:textId="77777777" w:rsidR="0007573B" w:rsidRDefault="0007573B" w:rsidP="0007573B">
      <w:pPr>
        <w:rPr>
          <w:b/>
        </w:rPr>
      </w:pPr>
    </w:p>
    <w:p w14:paraId="4D403AFB" w14:textId="77777777" w:rsidR="0007573B" w:rsidRDefault="0007573B" w:rsidP="0007573B">
      <w:pPr>
        <w:rPr>
          <w:b/>
        </w:rPr>
      </w:pPr>
    </w:p>
    <w:p w14:paraId="34237ED5" w14:textId="7392DA2C" w:rsidR="0007573B" w:rsidRDefault="0007573B" w:rsidP="0007573B">
      <w:r w:rsidRPr="008F5D80">
        <w:rPr>
          <w:b/>
          <w:bCs/>
        </w:rPr>
        <w:t>Note</w:t>
      </w:r>
      <w:r>
        <w:t>: there are over 50,000 user profiles.</w:t>
      </w:r>
    </w:p>
    <w:p w14:paraId="73366FC4" w14:textId="77777777" w:rsidR="0007573B" w:rsidRPr="0084557F" w:rsidRDefault="0007573B" w:rsidP="00C409CC">
      <w:pPr>
        <w:rPr>
          <w:szCs w:val="22"/>
        </w:rPr>
      </w:pPr>
    </w:p>
    <w:p w14:paraId="1ABA219D" w14:textId="4EA4A2FE" w:rsidR="00C409CC" w:rsidRDefault="00C409CC" w:rsidP="00CC5546"/>
    <w:p w14:paraId="20202B16" w14:textId="115E8B83" w:rsidR="00FB6768" w:rsidRPr="00C409CC" w:rsidRDefault="00FB6768" w:rsidP="00FB6768">
      <w:pPr>
        <w:rPr>
          <w:i/>
          <w:u w:val="single"/>
        </w:rPr>
      </w:pPr>
      <w:r>
        <w:rPr>
          <w:i/>
          <w:u w:val="single"/>
        </w:rPr>
        <w:t>Diagrams of current environment</w:t>
      </w:r>
    </w:p>
    <w:p w14:paraId="1D0DD439" w14:textId="72D09698" w:rsidR="00FB6768" w:rsidRDefault="00FB6768" w:rsidP="00CC5546"/>
    <w:p w14:paraId="472E29D9" w14:textId="1AB4054E" w:rsidR="00FB6768" w:rsidRDefault="00FB6768" w:rsidP="00CC5546">
      <w:r>
        <w:t>(Following pages.)</w:t>
      </w:r>
    </w:p>
    <w:p w14:paraId="073C3989" w14:textId="31FDD3BC" w:rsidR="00FB6768" w:rsidRDefault="00FB6768" w:rsidP="00CC5546"/>
    <w:p w14:paraId="558BCED7" w14:textId="77777777" w:rsidR="00FB6768" w:rsidRDefault="00FB6768">
      <w:pPr>
        <w:spacing w:after="160" w:line="259" w:lineRule="auto"/>
      </w:pPr>
      <w:r>
        <w:br w:type="page"/>
      </w:r>
    </w:p>
    <w:p w14:paraId="71B0B06E" w14:textId="2F2CC2CF" w:rsidR="00FB6768" w:rsidRDefault="00FB6768" w:rsidP="00FB6768">
      <w:pPr>
        <w:jc w:val="center"/>
      </w:pPr>
      <w:r>
        <w:rPr>
          <w:noProof/>
        </w:rPr>
        <w:lastRenderedPageBreak/>
        <w:drawing>
          <wp:inline distT="0" distB="0" distL="0" distR="0" wp14:anchorId="631A75D5" wp14:editId="28BB505F">
            <wp:extent cx="7801264" cy="5200361"/>
            <wp:effectExtent l="5080" t="0" r="0" b="0"/>
            <wp:docPr id="3280" name="Picture 3280"/>
            <wp:cNvGraphicFramePr/>
            <a:graphic xmlns:a="http://schemas.openxmlformats.org/drawingml/2006/main">
              <a:graphicData uri="http://schemas.openxmlformats.org/drawingml/2006/picture">
                <pic:pic xmlns:pic="http://schemas.openxmlformats.org/drawingml/2006/picture">
                  <pic:nvPicPr>
                    <pic:cNvPr id="3280" name="Picture 3280"/>
                    <pic:cNvPicPr/>
                  </pic:nvPicPr>
                  <pic:blipFill>
                    <a:blip r:embed="rId11"/>
                    <a:stretch>
                      <a:fillRect/>
                    </a:stretch>
                  </pic:blipFill>
                  <pic:spPr>
                    <a:xfrm rot="16200000">
                      <a:off x="0" y="0"/>
                      <a:ext cx="7812168" cy="5207629"/>
                    </a:xfrm>
                    <a:prstGeom prst="rect">
                      <a:avLst/>
                    </a:prstGeom>
                  </pic:spPr>
                </pic:pic>
              </a:graphicData>
            </a:graphic>
          </wp:inline>
        </w:drawing>
      </w:r>
    </w:p>
    <w:p w14:paraId="20FA45D5" w14:textId="6A2A2916" w:rsidR="00FB6768" w:rsidRDefault="00FB6768" w:rsidP="00FB6768">
      <w:pPr>
        <w:jc w:val="center"/>
      </w:pPr>
      <w:r>
        <w:rPr>
          <w:noProof/>
        </w:rPr>
        <w:lastRenderedPageBreak/>
        <mc:AlternateContent>
          <mc:Choice Requires="wpg">
            <w:drawing>
              <wp:inline distT="0" distB="0" distL="0" distR="0" wp14:anchorId="4EF71D74" wp14:editId="18600B09">
                <wp:extent cx="7469825" cy="4760277"/>
                <wp:effectExtent l="0" t="0" r="19367" b="19368"/>
                <wp:docPr id="3067" name="Group 3067"/>
                <wp:cNvGraphicFramePr/>
                <a:graphic xmlns:a="http://schemas.openxmlformats.org/drawingml/2006/main">
                  <a:graphicData uri="http://schemas.microsoft.com/office/word/2010/wordprocessingGroup">
                    <wpg:wgp>
                      <wpg:cNvGrpSpPr/>
                      <wpg:grpSpPr>
                        <a:xfrm rot="16200000">
                          <a:off x="0" y="0"/>
                          <a:ext cx="7469825" cy="4760277"/>
                          <a:chOff x="0" y="0"/>
                          <a:chExt cx="7315200" cy="3345180"/>
                        </a:xfrm>
                      </wpg:grpSpPr>
                      <wps:wsp>
                        <wps:cNvPr id="420" name="Shape 420"/>
                        <wps:cNvSpPr/>
                        <wps:spPr>
                          <a:xfrm>
                            <a:off x="6918960" y="140208"/>
                            <a:ext cx="59436" cy="181356"/>
                          </a:xfrm>
                          <a:custGeom>
                            <a:avLst/>
                            <a:gdLst/>
                            <a:ahLst/>
                            <a:cxnLst/>
                            <a:rect l="0" t="0" r="0" b="0"/>
                            <a:pathLst>
                              <a:path w="59436" h="181356">
                                <a:moveTo>
                                  <a:pt x="16764" y="0"/>
                                </a:moveTo>
                                <a:cubicBezTo>
                                  <a:pt x="42672" y="21336"/>
                                  <a:pt x="59436" y="54864"/>
                                  <a:pt x="59436" y="91440"/>
                                </a:cubicBezTo>
                                <a:cubicBezTo>
                                  <a:pt x="59436" y="128016"/>
                                  <a:pt x="42672" y="160020"/>
                                  <a:pt x="16764" y="181356"/>
                                </a:cubicBezTo>
                                <a:lnTo>
                                  <a:pt x="0" y="163068"/>
                                </a:lnTo>
                                <a:cubicBezTo>
                                  <a:pt x="21336" y="144780"/>
                                  <a:pt x="33528" y="118872"/>
                                  <a:pt x="33528" y="91440"/>
                                </a:cubicBezTo>
                                <a:cubicBezTo>
                                  <a:pt x="33528" y="62485"/>
                                  <a:pt x="21336" y="36576"/>
                                  <a:pt x="0" y="18288"/>
                                </a:cubicBezTo>
                                <a:lnTo>
                                  <a:pt x="16764" y="0"/>
                                </a:lnTo>
                                <a:close/>
                              </a:path>
                            </a:pathLst>
                          </a:custGeom>
                          <a:ln w="0" cap="flat">
                            <a:miter lim="127000"/>
                          </a:ln>
                        </wps:spPr>
                        <wps:style>
                          <a:lnRef idx="0">
                            <a:srgbClr val="000000">
                              <a:alpha val="0"/>
                            </a:srgbClr>
                          </a:lnRef>
                          <a:fillRef idx="1">
                            <a:srgbClr val="AAD287"/>
                          </a:fillRef>
                          <a:effectRef idx="0">
                            <a:scrgbClr r="0" g="0" b="0"/>
                          </a:effectRef>
                          <a:fontRef idx="none"/>
                        </wps:style>
                        <wps:bodyPr/>
                      </wps:wsp>
                      <wps:wsp>
                        <wps:cNvPr id="421" name="Shape 421"/>
                        <wps:cNvSpPr/>
                        <wps:spPr>
                          <a:xfrm>
                            <a:off x="6739128" y="140208"/>
                            <a:ext cx="59436" cy="181356"/>
                          </a:xfrm>
                          <a:custGeom>
                            <a:avLst/>
                            <a:gdLst/>
                            <a:ahLst/>
                            <a:cxnLst/>
                            <a:rect l="0" t="0" r="0" b="0"/>
                            <a:pathLst>
                              <a:path w="59436" h="181356">
                                <a:moveTo>
                                  <a:pt x="42672" y="0"/>
                                </a:moveTo>
                                <a:lnTo>
                                  <a:pt x="59436" y="18288"/>
                                </a:lnTo>
                                <a:cubicBezTo>
                                  <a:pt x="38100" y="36576"/>
                                  <a:pt x="25908" y="62485"/>
                                  <a:pt x="25908" y="91440"/>
                                </a:cubicBezTo>
                                <a:cubicBezTo>
                                  <a:pt x="25908" y="118872"/>
                                  <a:pt x="38100" y="144780"/>
                                  <a:pt x="59436" y="163068"/>
                                </a:cubicBezTo>
                                <a:lnTo>
                                  <a:pt x="42672" y="181356"/>
                                </a:lnTo>
                                <a:cubicBezTo>
                                  <a:pt x="16764" y="160020"/>
                                  <a:pt x="0" y="128016"/>
                                  <a:pt x="0" y="91440"/>
                                </a:cubicBezTo>
                                <a:cubicBezTo>
                                  <a:pt x="0" y="53340"/>
                                  <a:pt x="16764" y="21336"/>
                                  <a:pt x="42672" y="0"/>
                                </a:cubicBezTo>
                                <a:close/>
                              </a:path>
                            </a:pathLst>
                          </a:custGeom>
                          <a:ln w="0" cap="flat">
                            <a:miter lim="127000"/>
                          </a:ln>
                        </wps:spPr>
                        <wps:style>
                          <a:lnRef idx="0">
                            <a:srgbClr val="000000">
                              <a:alpha val="0"/>
                            </a:srgbClr>
                          </a:lnRef>
                          <a:fillRef idx="1">
                            <a:srgbClr val="AAD287"/>
                          </a:fillRef>
                          <a:effectRef idx="0">
                            <a:scrgbClr r="0" g="0" b="0"/>
                          </a:effectRef>
                          <a:fontRef idx="none"/>
                        </wps:style>
                        <wps:bodyPr/>
                      </wps:wsp>
                      <wps:wsp>
                        <wps:cNvPr id="422" name="Shape 422"/>
                        <wps:cNvSpPr/>
                        <wps:spPr>
                          <a:xfrm>
                            <a:off x="6973824" y="74676"/>
                            <a:ext cx="89916" cy="312420"/>
                          </a:xfrm>
                          <a:custGeom>
                            <a:avLst/>
                            <a:gdLst/>
                            <a:ahLst/>
                            <a:cxnLst/>
                            <a:rect l="0" t="0" r="0" b="0"/>
                            <a:pathLst>
                              <a:path w="89916" h="312420">
                                <a:moveTo>
                                  <a:pt x="16764" y="0"/>
                                </a:moveTo>
                                <a:cubicBezTo>
                                  <a:pt x="60960" y="36576"/>
                                  <a:pt x="89916" y="92964"/>
                                  <a:pt x="89916" y="156972"/>
                                </a:cubicBezTo>
                                <a:cubicBezTo>
                                  <a:pt x="89916" y="219456"/>
                                  <a:pt x="60960" y="275844"/>
                                  <a:pt x="16764" y="312420"/>
                                </a:cubicBezTo>
                                <a:lnTo>
                                  <a:pt x="0" y="292608"/>
                                </a:lnTo>
                                <a:cubicBezTo>
                                  <a:pt x="39624" y="260604"/>
                                  <a:pt x="64008" y="211836"/>
                                  <a:pt x="64008" y="156972"/>
                                </a:cubicBezTo>
                                <a:cubicBezTo>
                                  <a:pt x="64008" y="100584"/>
                                  <a:pt x="39624" y="51816"/>
                                  <a:pt x="0" y="19812"/>
                                </a:cubicBezTo>
                                <a:lnTo>
                                  <a:pt x="16764" y="0"/>
                                </a:lnTo>
                                <a:close/>
                              </a:path>
                            </a:pathLst>
                          </a:custGeom>
                          <a:ln w="0" cap="flat">
                            <a:miter lim="127000"/>
                          </a:ln>
                        </wps:spPr>
                        <wps:style>
                          <a:lnRef idx="0">
                            <a:srgbClr val="000000">
                              <a:alpha val="0"/>
                            </a:srgbClr>
                          </a:lnRef>
                          <a:fillRef idx="1">
                            <a:srgbClr val="AAD287"/>
                          </a:fillRef>
                          <a:effectRef idx="0">
                            <a:scrgbClr r="0" g="0" b="0"/>
                          </a:effectRef>
                          <a:fontRef idx="none"/>
                        </wps:style>
                        <wps:bodyPr/>
                      </wps:wsp>
                      <wps:wsp>
                        <wps:cNvPr id="423" name="Shape 423"/>
                        <wps:cNvSpPr/>
                        <wps:spPr>
                          <a:xfrm>
                            <a:off x="6653784" y="74676"/>
                            <a:ext cx="89916" cy="312420"/>
                          </a:xfrm>
                          <a:custGeom>
                            <a:avLst/>
                            <a:gdLst/>
                            <a:ahLst/>
                            <a:cxnLst/>
                            <a:rect l="0" t="0" r="0" b="0"/>
                            <a:pathLst>
                              <a:path w="89916" h="312420">
                                <a:moveTo>
                                  <a:pt x="73152" y="0"/>
                                </a:moveTo>
                                <a:lnTo>
                                  <a:pt x="89916" y="19812"/>
                                </a:lnTo>
                                <a:cubicBezTo>
                                  <a:pt x="50292" y="51816"/>
                                  <a:pt x="25908" y="100584"/>
                                  <a:pt x="25908" y="156972"/>
                                </a:cubicBezTo>
                                <a:cubicBezTo>
                                  <a:pt x="25908" y="211836"/>
                                  <a:pt x="50292" y="260604"/>
                                  <a:pt x="89916" y="292608"/>
                                </a:cubicBezTo>
                                <a:lnTo>
                                  <a:pt x="73152" y="312420"/>
                                </a:lnTo>
                                <a:cubicBezTo>
                                  <a:pt x="27432" y="275844"/>
                                  <a:pt x="0" y="219456"/>
                                  <a:pt x="0" y="156972"/>
                                </a:cubicBezTo>
                                <a:cubicBezTo>
                                  <a:pt x="0" y="92964"/>
                                  <a:pt x="27432" y="36576"/>
                                  <a:pt x="73152" y="0"/>
                                </a:cubicBezTo>
                                <a:close/>
                              </a:path>
                            </a:pathLst>
                          </a:custGeom>
                          <a:ln w="0" cap="flat">
                            <a:miter lim="127000"/>
                          </a:ln>
                        </wps:spPr>
                        <wps:style>
                          <a:lnRef idx="0">
                            <a:srgbClr val="000000">
                              <a:alpha val="0"/>
                            </a:srgbClr>
                          </a:lnRef>
                          <a:fillRef idx="1">
                            <a:srgbClr val="AAD287"/>
                          </a:fillRef>
                          <a:effectRef idx="0">
                            <a:scrgbClr r="0" g="0" b="0"/>
                          </a:effectRef>
                          <a:fontRef idx="none"/>
                        </wps:style>
                        <wps:bodyPr/>
                      </wps:wsp>
                      <wps:wsp>
                        <wps:cNvPr id="424" name="Shape 424"/>
                        <wps:cNvSpPr/>
                        <wps:spPr>
                          <a:xfrm>
                            <a:off x="7036308" y="0"/>
                            <a:ext cx="123444" cy="461772"/>
                          </a:xfrm>
                          <a:custGeom>
                            <a:avLst/>
                            <a:gdLst/>
                            <a:ahLst/>
                            <a:cxnLst/>
                            <a:rect l="0" t="0" r="0" b="0"/>
                            <a:pathLst>
                              <a:path w="123444" h="461772">
                                <a:moveTo>
                                  <a:pt x="16764" y="0"/>
                                </a:moveTo>
                                <a:cubicBezTo>
                                  <a:pt x="82297" y="56388"/>
                                  <a:pt x="123444" y="138684"/>
                                  <a:pt x="123444" y="231648"/>
                                </a:cubicBezTo>
                                <a:cubicBezTo>
                                  <a:pt x="123444" y="323088"/>
                                  <a:pt x="82297" y="405384"/>
                                  <a:pt x="16764" y="461772"/>
                                </a:cubicBezTo>
                                <a:lnTo>
                                  <a:pt x="0" y="441960"/>
                                </a:lnTo>
                                <a:cubicBezTo>
                                  <a:pt x="59436" y="390144"/>
                                  <a:pt x="97536" y="315468"/>
                                  <a:pt x="97536" y="231648"/>
                                </a:cubicBezTo>
                                <a:cubicBezTo>
                                  <a:pt x="97536" y="146304"/>
                                  <a:pt x="59436" y="71628"/>
                                  <a:pt x="0" y="19812"/>
                                </a:cubicBezTo>
                                <a:lnTo>
                                  <a:pt x="16764" y="0"/>
                                </a:lnTo>
                                <a:close/>
                              </a:path>
                            </a:pathLst>
                          </a:custGeom>
                          <a:ln w="0" cap="flat">
                            <a:miter lim="127000"/>
                          </a:ln>
                        </wps:spPr>
                        <wps:style>
                          <a:lnRef idx="0">
                            <a:srgbClr val="000000">
                              <a:alpha val="0"/>
                            </a:srgbClr>
                          </a:lnRef>
                          <a:fillRef idx="1">
                            <a:srgbClr val="AAD287"/>
                          </a:fillRef>
                          <a:effectRef idx="0">
                            <a:scrgbClr r="0" g="0" b="0"/>
                          </a:effectRef>
                          <a:fontRef idx="none"/>
                        </wps:style>
                        <wps:bodyPr/>
                      </wps:wsp>
                      <wps:wsp>
                        <wps:cNvPr id="425" name="Shape 425"/>
                        <wps:cNvSpPr/>
                        <wps:spPr>
                          <a:xfrm>
                            <a:off x="6557772" y="0"/>
                            <a:ext cx="123444" cy="461772"/>
                          </a:xfrm>
                          <a:custGeom>
                            <a:avLst/>
                            <a:gdLst/>
                            <a:ahLst/>
                            <a:cxnLst/>
                            <a:rect l="0" t="0" r="0" b="0"/>
                            <a:pathLst>
                              <a:path w="123444" h="461772">
                                <a:moveTo>
                                  <a:pt x="106680" y="0"/>
                                </a:moveTo>
                                <a:lnTo>
                                  <a:pt x="123444" y="19812"/>
                                </a:lnTo>
                                <a:cubicBezTo>
                                  <a:pt x="64008" y="71628"/>
                                  <a:pt x="24385" y="146304"/>
                                  <a:pt x="24385" y="231648"/>
                                </a:cubicBezTo>
                                <a:cubicBezTo>
                                  <a:pt x="24385" y="315468"/>
                                  <a:pt x="64008" y="391668"/>
                                  <a:pt x="123444" y="441960"/>
                                </a:cubicBezTo>
                                <a:lnTo>
                                  <a:pt x="106680" y="461772"/>
                                </a:lnTo>
                                <a:cubicBezTo>
                                  <a:pt x="41148" y="405384"/>
                                  <a:pt x="0" y="323088"/>
                                  <a:pt x="0" y="231648"/>
                                </a:cubicBezTo>
                                <a:cubicBezTo>
                                  <a:pt x="0" y="138684"/>
                                  <a:pt x="41148" y="56388"/>
                                  <a:pt x="106680" y="0"/>
                                </a:cubicBezTo>
                                <a:close/>
                              </a:path>
                            </a:pathLst>
                          </a:custGeom>
                          <a:ln w="0" cap="flat">
                            <a:miter lim="127000"/>
                          </a:ln>
                        </wps:spPr>
                        <wps:style>
                          <a:lnRef idx="0">
                            <a:srgbClr val="000000">
                              <a:alpha val="0"/>
                            </a:srgbClr>
                          </a:lnRef>
                          <a:fillRef idx="1">
                            <a:srgbClr val="AAD287"/>
                          </a:fillRef>
                          <a:effectRef idx="0">
                            <a:scrgbClr r="0" g="0" b="0"/>
                          </a:effectRef>
                          <a:fontRef idx="none"/>
                        </wps:style>
                        <wps:bodyPr/>
                      </wps:wsp>
                      <wps:wsp>
                        <wps:cNvPr id="426" name="Shape 426"/>
                        <wps:cNvSpPr/>
                        <wps:spPr>
                          <a:xfrm>
                            <a:off x="6918960" y="140208"/>
                            <a:ext cx="59436" cy="181356"/>
                          </a:xfrm>
                          <a:custGeom>
                            <a:avLst/>
                            <a:gdLst/>
                            <a:ahLst/>
                            <a:cxnLst/>
                            <a:rect l="0" t="0" r="0" b="0"/>
                            <a:pathLst>
                              <a:path w="59436" h="181356">
                                <a:moveTo>
                                  <a:pt x="33528" y="91440"/>
                                </a:moveTo>
                                <a:cubicBezTo>
                                  <a:pt x="33528" y="118872"/>
                                  <a:pt x="21336" y="144780"/>
                                  <a:pt x="0" y="163068"/>
                                </a:cubicBezTo>
                                <a:lnTo>
                                  <a:pt x="16764" y="181356"/>
                                </a:lnTo>
                                <a:cubicBezTo>
                                  <a:pt x="42672" y="160020"/>
                                  <a:pt x="59436" y="128016"/>
                                  <a:pt x="59436" y="91440"/>
                                </a:cubicBezTo>
                                <a:cubicBezTo>
                                  <a:pt x="59436" y="54864"/>
                                  <a:pt x="42672" y="21336"/>
                                  <a:pt x="16764" y="0"/>
                                </a:cubicBezTo>
                                <a:lnTo>
                                  <a:pt x="0" y="18288"/>
                                </a:lnTo>
                                <a:cubicBezTo>
                                  <a:pt x="21336" y="36576"/>
                                  <a:pt x="33528" y="62484"/>
                                  <a:pt x="33528" y="91440"/>
                                </a:cubicBezTo>
                                <a:close/>
                              </a:path>
                            </a:pathLst>
                          </a:custGeom>
                          <a:ln w="6096" cap="rnd">
                            <a:round/>
                          </a:ln>
                        </wps:spPr>
                        <wps:style>
                          <a:lnRef idx="1">
                            <a:srgbClr val="FFFFFF"/>
                          </a:lnRef>
                          <a:fillRef idx="0">
                            <a:srgbClr val="000000">
                              <a:alpha val="0"/>
                            </a:srgbClr>
                          </a:fillRef>
                          <a:effectRef idx="0">
                            <a:scrgbClr r="0" g="0" b="0"/>
                          </a:effectRef>
                          <a:fontRef idx="none"/>
                        </wps:style>
                        <wps:bodyPr/>
                      </wps:wsp>
                      <wps:wsp>
                        <wps:cNvPr id="427" name="Shape 427"/>
                        <wps:cNvSpPr/>
                        <wps:spPr>
                          <a:xfrm>
                            <a:off x="6973824" y="74676"/>
                            <a:ext cx="89916" cy="312420"/>
                          </a:xfrm>
                          <a:custGeom>
                            <a:avLst/>
                            <a:gdLst/>
                            <a:ahLst/>
                            <a:cxnLst/>
                            <a:rect l="0" t="0" r="0" b="0"/>
                            <a:pathLst>
                              <a:path w="89916" h="312420">
                                <a:moveTo>
                                  <a:pt x="64008" y="156972"/>
                                </a:moveTo>
                                <a:cubicBezTo>
                                  <a:pt x="64008" y="211836"/>
                                  <a:pt x="39624" y="260604"/>
                                  <a:pt x="0" y="292608"/>
                                </a:cubicBezTo>
                                <a:lnTo>
                                  <a:pt x="16764" y="312420"/>
                                </a:lnTo>
                                <a:cubicBezTo>
                                  <a:pt x="60960" y="275844"/>
                                  <a:pt x="89916" y="219456"/>
                                  <a:pt x="89916" y="156972"/>
                                </a:cubicBezTo>
                                <a:cubicBezTo>
                                  <a:pt x="89916" y="92964"/>
                                  <a:pt x="60960" y="36576"/>
                                  <a:pt x="16764" y="0"/>
                                </a:cubicBezTo>
                                <a:lnTo>
                                  <a:pt x="0" y="19812"/>
                                </a:lnTo>
                                <a:cubicBezTo>
                                  <a:pt x="39624" y="51816"/>
                                  <a:pt x="64008" y="100584"/>
                                  <a:pt x="64008" y="156972"/>
                                </a:cubicBezTo>
                                <a:close/>
                              </a:path>
                            </a:pathLst>
                          </a:custGeom>
                          <a:ln w="6096" cap="rnd">
                            <a:round/>
                          </a:ln>
                        </wps:spPr>
                        <wps:style>
                          <a:lnRef idx="1">
                            <a:srgbClr val="FFFFFF"/>
                          </a:lnRef>
                          <a:fillRef idx="0">
                            <a:srgbClr val="000000">
                              <a:alpha val="0"/>
                            </a:srgbClr>
                          </a:fillRef>
                          <a:effectRef idx="0">
                            <a:scrgbClr r="0" g="0" b="0"/>
                          </a:effectRef>
                          <a:fontRef idx="none"/>
                        </wps:style>
                        <wps:bodyPr/>
                      </wps:wsp>
                      <wps:wsp>
                        <wps:cNvPr id="428" name="Shape 428"/>
                        <wps:cNvSpPr/>
                        <wps:spPr>
                          <a:xfrm>
                            <a:off x="7036308" y="0"/>
                            <a:ext cx="123444" cy="461772"/>
                          </a:xfrm>
                          <a:custGeom>
                            <a:avLst/>
                            <a:gdLst/>
                            <a:ahLst/>
                            <a:cxnLst/>
                            <a:rect l="0" t="0" r="0" b="0"/>
                            <a:pathLst>
                              <a:path w="123444" h="461772">
                                <a:moveTo>
                                  <a:pt x="16764" y="0"/>
                                </a:moveTo>
                                <a:lnTo>
                                  <a:pt x="0" y="19812"/>
                                </a:lnTo>
                                <a:cubicBezTo>
                                  <a:pt x="59436" y="71628"/>
                                  <a:pt x="97536" y="146304"/>
                                  <a:pt x="97536" y="231648"/>
                                </a:cubicBezTo>
                                <a:cubicBezTo>
                                  <a:pt x="97536" y="315468"/>
                                  <a:pt x="59436" y="390144"/>
                                  <a:pt x="0" y="441960"/>
                                </a:cubicBezTo>
                                <a:lnTo>
                                  <a:pt x="16764" y="461772"/>
                                </a:lnTo>
                                <a:cubicBezTo>
                                  <a:pt x="82296" y="405384"/>
                                  <a:pt x="123444" y="323088"/>
                                  <a:pt x="123444" y="231648"/>
                                </a:cubicBezTo>
                                <a:cubicBezTo>
                                  <a:pt x="123444" y="138684"/>
                                  <a:pt x="82296" y="56388"/>
                                  <a:pt x="16764" y="0"/>
                                </a:cubicBezTo>
                                <a:close/>
                              </a:path>
                            </a:pathLst>
                          </a:custGeom>
                          <a:ln w="6096" cap="rnd">
                            <a:round/>
                          </a:ln>
                        </wps:spPr>
                        <wps:style>
                          <a:lnRef idx="1">
                            <a:srgbClr val="FFFFFF"/>
                          </a:lnRef>
                          <a:fillRef idx="0">
                            <a:srgbClr val="000000">
                              <a:alpha val="0"/>
                            </a:srgbClr>
                          </a:fillRef>
                          <a:effectRef idx="0">
                            <a:scrgbClr r="0" g="0" b="0"/>
                          </a:effectRef>
                          <a:fontRef idx="none"/>
                        </wps:style>
                        <wps:bodyPr/>
                      </wps:wsp>
                      <wps:wsp>
                        <wps:cNvPr id="429" name="Shape 429"/>
                        <wps:cNvSpPr/>
                        <wps:spPr>
                          <a:xfrm>
                            <a:off x="6739128" y="140208"/>
                            <a:ext cx="59436" cy="181356"/>
                          </a:xfrm>
                          <a:custGeom>
                            <a:avLst/>
                            <a:gdLst/>
                            <a:ahLst/>
                            <a:cxnLst/>
                            <a:rect l="0" t="0" r="0" b="0"/>
                            <a:pathLst>
                              <a:path w="59436" h="181356">
                                <a:moveTo>
                                  <a:pt x="25908" y="91440"/>
                                </a:moveTo>
                                <a:cubicBezTo>
                                  <a:pt x="25908" y="62484"/>
                                  <a:pt x="38100" y="36576"/>
                                  <a:pt x="59436" y="18288"/>
                                </a:cubicBezTo>
                                <a:lnTo>
                                  <a:pt x="42672" y="0"/>
                                </a:lnTo>
                                <a:cubicBezTo>
                                  <a:pt x="16763" y="21336"/>
                                  <a:pt x="0" y="53340"/>
                                  <a:pt x="0" y="91440"/>
                                </a:cubicBezTo>
                                <a:cubicBezTo>
                                  <a:pt x="0" y="128016"/>
                                  <a:pt x="16763" y="160020"/>
                                  <a:pt x="42672" y="181356"/>
                                </a:cubicBezTo>
                                <a:lnTo>
                                  <a:pt x="59436" y="163068"/>
                                </a:lnTo>
                                <a:cubicBezTo>
                                  <a:pt x="38100" y="144780"/>
                                  <a:pt x="25908" y="118872"/>
                                  <a:pt x="25908" y="91440"/>
                                </a:cubicBezTo>
                                <a:close/>
                              </a:path>
                            </a:pathLst>
                          </a:custGeom>
                          <a:ln w="6096" cap="rnd">
                            <a:round/>
                          </a:ln>
                        </wps:spPr>
                        <wps:style>
                          <a:lnRef idx="1">
                            <a:srgbClr val="FFFFFF"/>
                          </a:lnRef>
                          <a:fillRef idx="0">
                            <a:srgbClr val="000000">
                              <a:alpha val="0"/>
                            </a:srgbClr>
                          </a:fillRef>
                          <a:effectRef idx="0">
                            <a:scrgbClr r="0" g="0" b="0"/>
                          </a:effectRef>
                          <a:fontRef idx="none"/>
                        </wps:style>
                        <wps:bodyPr/>
                      </wps:wsp>
                      <wps:wsp>
                        <wps:cNvPr id="430" name="Shape 430"/>
                        <wps:cNvSpPr/>
                        <wps:spPr>
                          <a:xfrm>
                            <a:off x="6653784" y="74676"/>
                            <a:ext cx="89916" cy="312420"/>
                          </a:xfrm>
                          <a:custGeom>
                            <a:avLst/>
                            <a:gdLst/>
                            <a:ahLst/>
                            <a:cxnLst/>
                            <a:rect l="0" t="0" r="0" b="0"/>
                            <a:pathLst>
                              <a:path w="89916" h="312420">
                                <a:moveTo>
                                  <a:pt x="25908" y="156972"/>
                                </a:moveTo>
                                <a:cubicBezTo>
                                  <a:pt x="25908" y="100584"/>
                                  <a:pt x="50292" y="51816"/>
                                  <a:pt x="89916" y="19812"/>
                                </a:cubicBezTo>
                                <a:lnTo>
                                  <a:pt x="73152" y="0"/>
                                </a:lnTo>
                                <a:cubicBezTo>
                                  <a:pt x="27432" y="36576"/>
                                  <a:pt x="0" y="92964"/>
                                  <a:pt x="0" y="156972"/>
                                </a:cubicBezTo>
                                <a:cubicBezTo>
                                  <a:pt x="0" y="219456"/>
                                  <a:pt x="27432" y="275844"/>
                                  <a:pt x="73152" y="312420"/>
                                </a:cubicBezTo>
                                <a:lnTo>
                                  <a:pt x="89916" y="292608"/>
                                </a:lnTo>
                                <a:cubicBezTo>
                                  <a:pt x="50292" y="260604"/>
                                  <a:pt x="25908" y="211836"/>
                                  <a:pt x="25908" y="156972"/>
                                </a:cubicBezTo>
                                <a:close/>
                              </a:path>
                            </a:pathLst>
                          </a:custGeom>
                          <a:ln w="6096" cap="rnd">
                            <a:round/>
                          </a:ln>
                        </wps:spPr>
                        <wps:style>
                          <a:lnRef idx="1">
                            <a:srgbClr val="FFFFFF"/>
                          </a:lnRef>
                          <a:fillRef idx="0">
                            <a:srgbClr val="000000">
                              <a:alpha val="0"/>
                            </a:srgbClr>
                          </a:fillRef>
                          <a:effectRef idx="0">
                            <a:scrgbClr r="0" g="0" b="0"/>
                          </a:effectRef>
                          <a:fontRef idx="none"/>
                        </wps:style>
                        <wps:bodyPr/>
                      </wps:wsp>
                      <wps:wsp>
                        <wps:cNvPr id="431" name="Shape 431"/>
                        <wps:cNvSpPr/>
                        <wps:spPr>
                          <a:xfrm>
                            <a:off x="6557772" y="0"/>
                            <a:ext cx="123444" cy="461772"/>
                          </a:xfrm>
                          <a:custGeom>
                            <a:avLst/>
                            <a:gdLst/>
                            <a:ahLst/>
                            <a:cxnLst/>
                            <a:rect l="0" t="0" r="0" b="0"/>
                            <a:pathLst>
                              <a:path w="123444" h="461772">
                                <a:moveTo>
                                  <a:pt x="106680" y="461772"/>
                                </a:moveTo>
                                <a:lnTo>
                                  <a:pt x="123444" y="441960"/>
                                </a:lnTo>
                                <a:cubicBezTo>
                                  <a:pt x="64008" y="391668"/>
                                  <a:pt x="24384" y="315468"/>
                                  <a:pt x="24384" y="231648"/>
                                </a:cubicBezTo>
                                <a:cubicBezTo>
                                  <a:pt x="24384" y="146304"/>
                                  <a:pt x="64008" y="71628"/>
                                  <a:pt x="123444" y="19812"/>
                                </a:cubicBezTo>
                                <a:lnTo>
                                  <a:pt x="106680" y="0"/>
                                </a:lnTo>
                                <a:cubicBezTo>
                                  <a:pt x="41148" y="56388"/>
                                  <a:pt x="0" y="138684"/>
                                  <a:pt x="0" y="231648"/>
                                </a:cubicBezTo>
                                <a:cubicBezTo>
                                  <a:pt x="0" y="323088"/>
                                  <a:pt x="41148" y="405384"/>
                                  <a:pt x="106680" y="461772"/>
                                </a:cubicBezTo>
                                <a:close/>
                              </a:path>
                            </a:pathLst>
                          </a:custGeom>
                          <a:ln w="6096" cap="rnd">
                            <a:round/>
                          </a:ln>
                        </wps:spPr>
                        <wps:style>
                          <a:lnRef idx="1">
                            <a:srgbClr val="FFFFFF"/>
                          </a:lnRef>
                          <a:fillRef idx="0">
                            <a:srgbClr val="000000">
                              <a:alpha val="0"/>
                            </a:srgbClr>
                          </a:fillRef>
                          <a:effectRef idx="0">
                            <a:scrgbClr r="0" g="0" b="0"/>
                          </a:effectRef>
                          <a:fontRef idx="none"/>
                        </wps:style>
                        <wps:bodyPr/>
                      </wps:wsp>
                      <wps:wsp>
                        <wps:cNvPr id="432" name="Shape 432"/>
                        <wps:cNvSpPr/>
                        <wps:spPr>
                          <a:xfrm>
                            <a:off x="6809232" y="181356"/>
                            <a:ext cx="99061" cy="204215"/>
                          </a:xfrm>
                          <a:custGeom>
                            <a:avLst/>
                            <a:gdLst/>
                            <a:ahLst/>
                            <a:cxnLst/>
                            <a:rect l="0" t="0" r="0" b="0"/>
                            <a:pathLst>
                              <a:path w="99061" h="204215">
                                <a:moveTo>
                                  <a:pt x="48768" y="0"/>
                                </a:moveTo>
                                <a:cubicBezTo>
                                  <a:pt x="77725" y="0"/>
                                  <a:pt x="99061" y="21336"/>
                                  <a:pt x="99061" y="50292"/>
                                </a:cubicBezTo>
                                <a:cubicBezTo>
                                  <a:pt x="99061" y="73152"/>
                                  <a:pt x="83820" y="91440"/>
                                  <a:pt x="62485" y="97536"/>
                                </a:cubicBezTo>
                                <a:lnTo>
                                  <a:pt x="62485" y="204215"/>
                                </a:lnTo>
                                <a:lnTo>
                                  <a:pt x="35052" y="204215"/>
                                </a:lnTo>
                                <a:lnTo>
                                  <a:pt x="35052" y="97536"/>
                                </a:lnTo>
                                <a:cubicBezTo>
                                  <a:pt x="15240" y="91440"/>
                                  <a:pt x="0" y="73152"/>
                                  <a:pt x="0" y="50292"/>
                                </a:cubicBezTo>
                                <a:cubicBezTo>
                                  <a:pt x="0" y="21336"/>
                                  <a:pt x="21337" y="0"/>
                                  <a:pt x="48768" y="0"/>
                                </a:cubicBezTo>
                                <a:close/>
                              </a:path>
                            </a:pathLst>
                          </a:custGeom>
                          <a:ln w="0" cap="flat">
                            <a:miter lim="127000"/>
                          </a:ln>
                        </wps:spPr>
                        <wps:style>
                          <a:lnRef idx="0">
                            <a:srgbClr val="000000">
                              <a:alpha val="0"/>
                            </a:srgbClr>
                          </a:lnRef>
                          <a:fillRef idx="1">
                            <a:srgbClr val="28669D"/>
                          </a:fillRef>
                          <a:effectRef idx="0">
                            <a:scrgbClr r="0" g="0" b="0"/>
                          </a:effectRef>
                          <a:fontRef idx="none"/>
                        </wps:style>
                        <wps:bodyPr/>
                      </wps:wsp>
                      <wps:wsp>
                        <wps:cNvPr id="433" name="Shape 433"/>
                        <wps:cNvSpPr/>
                        <wps:spPr>
                          <a:xfrm>
                            <a:off x="6720840" y="385572"/>
                            <a:ext cx="275844" cy="528828"/>
                          </a:xfrm>
                          <a:custGeom>
                            <a:avLst/>
                            <a:gdLst/>
                            <a:ahLst/>
                            <a:cxnLst/>
                            <a:rect l="0" t="0" r="0" b="0"/>
                            <a:pathLst>
                              <a:path w="275844" h="528828">
                                <a:moveTo>
                                  <a:pt x="88392" y="0"/>
                                </a:moveTo>
                                <a:lnTo>
                                  <a:pt x="185928" y="0"/>
                                </a:lnTo>
                                <a:lnTo>
                                  <a:pt x="275844" y="528828"/>
                                </a:lnTo>
                                <a:lnTo>
                                  <a:pt x="0" y="528828"/>
                                </a:lnTo>
                                <a:lnTo>
                                  <a:pt x="88392"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434" name="Shape 434"/>
                        <wps:cNvSpPr/>
                        <wps:spPr>
                          <a:xfrm>
                            <a:off x="6720840" y="385572"/>
                            <a:ext cx="275844" cy="528828"/>
                          </a:xfrm>
                          <a:custGeom>
                            <a:avLst/>
                            <a:gdLst/>
                            <a:ahLst/>
                            <a:cxnLst/>
                            <a:rect l="0" t="0" r="0" b="0"/>
                            <a:pathLst>
                              <a:path w="275844" h="528828">
                                <a:moveTo>
                                  <a:pt x="275844" y="528828"/>
                                </a:moveTo>
                                <a:lnTo>
                                  <a:pt x="0" y="528828"/>
                                </a:lnTo>
                                <a:lnTo>
                                  <a:pt x="88392" y="0"/>
                                </a:lnTo>
                                <a:lnTo>
                                  <a:pt x="185927" y="0"/>
                                </a:lnTo>
                                <a:lnTo>
                                  <a:pt x="275844" y="528828"/>
                                </a:lnTo>
                                <a:close/>
                              </a:path>
                            </a:pathLst>
                          </a:custGeom>
                          <a:ln w="6096" cap="rnd">
                            <a:round/>
                          </a:ln>
                        </wps:spPr>
                        <wps:style>
                          <a:lnRef idx="1">
                            <a:srgbClr val="FFFFFF"/>
                          </a:lnRef>
                          <a:fillRef idx="0">
                            <a:srgbClr val="000000">
                              <a:alpha val="0"/>
                            </a:srgbClr>
                          </a:fillRef>
                          <a:effectRef idx="0">
                            <a:scrgbClr r="0" g="0" b="0"/>
                          </a:effectRef>
                          <a:fontRef idx="none"/>
                        </wps:style>
                        <wps:bodyPr/>
                      </wps:wsp>
                      <wps:wsp>
                        <wps:cNvPr id="435" name="Rectangle 435"/>
                        <wps:cNvSpPr/>
                        <wps:spPr>
                          <a:xfrm>
                            <a:off x="6749770" y="985658"/>
                            <a:ext cx="291045" cy="168234"/>
                          </a:xfrm>
                          <a:prstGeom prst="rect">
                            <a:avLst/>
                          </a:prstGeom>
                          <a:ln>
                            <a:noFill/>
                          </a:ln>
                        </wps:spPr>
                        <wps:txbx>
                          <w:txbxContent>
                            <w:p w14:paraId="5EE174F7" w14:textId="77777777" w:rsidR="00FB6768" w:rsidRDefault="00FB6768" w:rsidP="00FB6768">
                              <w:pPr>
                                <w:spacing w:after="160"/>
                              </w:pPr>
                              <w:r>
                                <w:rPr>
                                  <w:color w:val="1E4973"/>
                                  <w:sz w:val="20"/>
                                </w:rPr>
                                <w:t>VPN</w:t>
                              </w:r>
                            </w:p>
                          </w:txbxContent>
                        </wps:txbx>
                        <wps:bodyPr horzOverflow="overflow" vert="horz" lIns="0" tIns="0" rIns="0" bIns="0" rtlCol="0">
                          <a:noAutofit/>
                        </wps:bodyPr>
                      </wps:wsp>
                      <wps:wsp>
                        <wps:cNvPr id="436" name="Shape 436"/>
                        <wps:cNvSpPr/>
                        <wps:spPr>
                          <a:xfrm>
                            <a:off x="6400800" y="3116580"/>
                            <a:ext cx="914400" cy="228600"/>
                          </a:xfrm>
                          <a:custGeom>
                            <a:avLst/>
                            <a:gdLst/>
                            <a:ahLst/>
                            <a:cxnLst/>
                            <a:rect l="0" t="0" r="0" b="0"/>
                            <a:pathLst>
                              <a:path w="914400" h="228600">
                                <a:moveTo>
                                  <a:pt x="74676" y="0"/>
                                </a:moveTo>
                                <a:lnTo>
                                  <a:pt x="836676" y="0"/>
                                </a:lnTo>
                                <a:lnTo>
                                  <a:pt x="914400" y="132588"/>
                                </a:lnTo>
                                <a:lnTo>
                                  <a:pt x="914400" y="228600"/>
                                </a:lnTo>
                                <a:lnTo>
                                  <a:pt x="0" y="228600"/>
                                </a:lnTo>
                                <a:lnTo>
                                  <a:pt x="0" y="132588"/>
                                </a:lnTo>
                                <a:lnTo>
                                  <a:pt x="74676"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437" name="Shape 437"/>
                        <wps:cNvSpPr/>
                        <wps:spPr>
                          <a:xfrm>
                            <a:off x="6475476" y="2599944"/>
                            <a:ext cx="765048" cy="495300"/>
                          </a:xfrm>
                          <a:custGeom>
                            <a:avLst/>
                            <a:gdLst/>
                            <a:ahLst/>
                            <a:cxnLst/>
                            <a:rect l="0" t="0" r="0" b="0"/>
                            <a:pathLst>
                              <a:path w="765048" h="495300">
                                <a:moveTo>
                                  <a:pt x="76200" y="0"/>
                                </a:moveTo>
                                <a:lnTo>
                                  <a:pt x="688848" y="0"/>
                                </a:lnTo>
                                <a:cubicBezTo>
                                  <a:pt x="729996" y="0"/>
                                  <a:pt x="765048" y="33528"/>
                                  <a:pt x="765048" y="76200"/>
                                </a:cubicBezTo>
                                <a:lnTo>
                                  <a:pt x="765048" y="495300"/>
                                </a:lnTo>
                                <a:lnTo>
                                  <a:pt x="0" y="495300"/>
                                </a:lnTo>
                                <a:lnTo>
                                  <a:pt x="0" y="76200"/>
                                </a:lnTo>
                                <a:cubicBezTo>
                                  <a:pt x="0" y="33528"/>
                                  <a:pt x="33528" y="0"/>
                                  <a:pt x="76200" y="0"/>
                                </a:cubicBez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438" name="Shape 438"/>
                        <wps:cNvSpPr/>
                        <wps:spPr>
                          <a:xfrm>
                            <a:off x="6400800" y="3116580"/>
                            <a:ext cx="914400" cy="228600"/>
                          </a:xfrm>
                          <a:custGeom>
                            <a:avLst/>
                            <a:gdLst/>
                            <a:ahLst/>
                            <a:cxnLst/>
                            <a:rect l="0" t="0" r="0" b="0"/>
                            <a:pathLst>
                              <a:path w="914400" h="228600">
                                <a:moveTo>
                                  <a:pt x="0" y="228600"/>
                                </a:moveTo>
                                <a:lnTo>
                                  <a:pt x="914400" y="228600"/>
                                </a:lnTo>
                                <a:lnTo>
                                  <a:pt x="914400" y="132588"/>
                                </a:lnTo>
                                <a:lnTo>
                                  <a:pt x="836676" y="0"/>
                                </a:lnTo>
                                <a:lnTo>
                                  <a:pt x="74676" y="0"/>
                                </a:lnTo>
                                <a:lnTo>
                                  <a:pt x="0" y="132588"/>
                                </a:lnTo>
                                <a:lnTo>
                                  <a:pt x="0" y="228600"/>
                                </a:lnTo>
                                <a:close/>
                              </a:path>
                            </a:pathLst>
                          </a:custGeom>
                          <a:ln w="6096" cap="rnd">
                            <a:round/>
                          </a:ln>
                        </wps:spPr>
                        <wps:style>
                          <a:lnRef idx="1">
                            <a:srgbClr val="FFFFFF"/>
                          </a:lnRef>
                          <a:fillRef idx="0">
                            <a:srgbClr val="000000">
                              <a:alpha val="0"/>
                            </a:srgbClr>
                          </a:fillRef>
                          <a:effectRef idx="0">
                            <a:scrgbClr r="0" g="0" b="0"/>
                          </a:effectRef>
                          <a:fontRef idx="none"/>
                        </wps:style>
                        <wps:bodyPr/>
                      </wps:wsp>
                      <wps:wsp>
                        <wps:cNvPr id="439" name="Shape 439"/>
                        <wps:cNvSpPr/>
                        <wps:spPr>
                          <a:xfrm>
                            <a:off x="6475476" y="2599944"/>
                            <a:ext cx="765048" cy="495300"/>
                          </a:xfrm>
                          <a:custGeom>
                            <a:avLst/>
                            <a:gdLst/>
                            <a:ahLst/>
                            <a:cxnLst/>
                            <a:rect l="0" t="0" r="0" b="0"/>
                            <a:pathLst>
                              <a:path w="765048" h="495300">
                                <a:moveTo>
                                  <a:pt x="765048" y="495300"/>
                                </a:moveTo>
                                <a:lnTo>
                                  <a:pt x="765048" y="76200"/>
                                </a:lnTo>
                                <a:cubicBezTo>
                                  <a:pt x="765048" y="33528"/>
                                  <a:pt x="729996" y="0"/>
                                  <a:pt x="688848" y="0"/>
                                </a:cubicBezTo>
                                <a:lnTo>
                                  <a:pt x="76200" y="0"/>
                                </a:lnTo>
                                <a:cubicBezTo>
                                  <a:pt x="33527" y="0"/>
                                  <a:pt x="0" y="33528"/>
                                  <a:pt x="0" y="76200"/>
                                </a:cubicBezTo>
                                <a:lnTo>
                                  <a:pt x="0" y="495300"/>
                                </a:lnTo>
                                <a:lnTo>
                                  <a:pt x="765048" y="495300"/>
                                </a:lnTo>
                                <a:close/>
                              </a:path>
                            </a:pathLst>
                          </a:custGeom>
                          <a:ln w="6096" cap="rnd">
                            <a:round/>
                          </a:ln>
                        </wps:spPr>
                        <wps:style>
                          <a:lnRef idx="1">
                            <a:srgbClr val="FFFFFF"/>
                          </a:lnRef>
                          <a:fillRef idx="0">
                            <a:srgbClr val="000000">
                              <a:alpha val="0"/>
                            </a:srgbClr>
                          </a:fillRef>
                          <a:effectRef idx="0">
                            <a:scrgbClr r="0" g="0" b="0"/>
                          </a:effectRef>
                          <a:fontRef idx="none"/>
                        </wps:style>
                        <wps:bodyPr/>
                      </wps:wsp>
                      <wps:wsp>
                        <wps:cNvPr id="440" name="Shape 440"/>
                        <wps:cNvSpPr/>
                        <wps:spPr>
                          <a:xfrm>
                            <a:off x="6492240" y="3172968"/>
                            <a:ext cx="731520" cy="65532"/>
                          </a:xfrm>
                          <a:custGeom>
                            <a:avLst/>
                            <a:gdLst/>
                            <a:ahLst/>
                            <a:cxnLst/>
                            <a:rect l="0" t="0" r="0" b="0"/>
                            <a:pathLst>
                              <a:path w="731520" h="65532">
                                <a:moveTo>
                                  <a:pt x="36576" y="0"/>
                                </a:moveTo>
                                <a:lnTo>
                                  <a:pt x="694944" y="0"/>
                                </a:lnTo>
                                <a:lnTo>
                                  <a:pt x="731520" y="65532"/>
                                </a:lnTo>
                                <a:lnTo>
                                  <a:pt x="0" y="65532"/>
                                </a:lnTo>
                                <a:lnTo>
                                  <a:pt x="3657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25" name="Shape 3325"/>
                        <wps:cNvSpPr/>
                        <wps:spPr>
                          <a:xfrm>
                            <a:off x="6548628" y="2671572"/>
                            <a:ext cx="620268" cy="344424"/>
                          </a:xfrm>
                          <a:custGeom>
                            <a:avLst/>
                            <a:gdLst/>
                            <a:ahLst/>
                            <a:cxnLst/>
                            <a:rect l="0" t="0" r="0" b="0"/>
                            <a:pathLst>
                              <a:path w="620268" h="344424">
                                <a:moveTo>
                                  <a:pt x="0" y="0"/>
                                </a:moveTo>
                                <a:lnTo>
                                  <a:pt x="620268" y="0"/>
                                </a:lnTo>
                                <a:lnTo>
                                  <a:pt x="620268" y="344424"/>
                                </a:lnTo>
                                <a:lnTo>
                                  <a:pt x="0" y="344424"/>
                                </a:lnTo>
                                <a:lnTo>
                                  <a:pt x="0" y="0"/>
                                </a:lnTo>
                              </a:path>
                            </a:pathLst>
                          </a:custGeom>
                          <a:ln w="0" cap="flat">
                            <a:miter lim="127000"/>
                          </a:ln>
                        </wps:spPr>
                        <wps:style>
                          <a:lnRef idx="0">
                            <a:srgbClr val="000000">
                              <a:alpha val="0"/>
                            </a:srgbClr>
                          </a:lnRef>
                          <a:fillRef idx="1">
                            <a:srgbClr val="A4A4A4"/>
                          </a:fillRef>
                          <a:effectRef idx="0">
                            <a:scrgbClr r="0" g="0" b="0"/>
                          </a:effectRef>
                          <a:fontRef idx="none"/>
                        </wps:style>
                        <wps:bodyPr/>
                      </wps:wsp>
                      <wps:wsp>
                        <wps:cNvPr id="442" name="Shape 442"/>
                        <wps:cNvSpPr/>
                        <wps:spPr>
                          <a:xfrm>
                            <a:off x="6548628" y="2671572"/>
                            <a:ext cx="620268" cy="344424"/>
                          </a:xfrm>
                          <a:custGeom>
                            <a:avLst/>
                            <a:gdLst/>
                            <a:ahLst/>
                            <a:cxnLst/>
                            <a:rect l="0" t="0" r="0" b="0"/>
                            <a:pathLst>
                              <a:path w="620268" h="344424">
                                <a:moveTo>
                                  <a:pt x="0" y="344424"/>
                                </a:moveTo>
                                <a:lnTo>
                                  <a:pt x="620268" y="344424"/>
                                </a:lnTo>
                                <a:lnTo>
                                  <a:pt x="620268" y="0"/>
                                </a:lnTo>
                                <a:lnTo>
                                  <a:pt x="0" y="0"/>
                                </a:lnTo>
                                <a:lnTo>
                                  <a:pt x="0" y="344424"/>
                                </a:lnTo>
                                <a:close/>
                              </a:path>
                            </a:pathLst>
                          </a:custGeom>
                          <a:ln w="6096" cap="rnd">
                            <a:round/>
                          </a:ln>
                        </wps:spPr>
                        <wps:style>
                          <a:lnRef idx="1">
                            <a:srgbClr val="FFFFFF"/>
                          </a:lnRef>
                          <a:fillRef idx="0">
                            <a:srgbClr val="000000">
                              <a:alpha val="0"/>
                            </a:srgbClr>
                          </a:fillRef>
                          <a:effectRef idx="0">
                            <a:scrgbClr r="0" g="0" b="0"/>
                          </a:effectRef>
                          <a:fontRef idx="none"/>
                        </wps:style>
                        <wps:bodyPr/>
                      </wps:wsp>
                      <wps:wsp>
                        <wps:cNvPr id="443" name="Shape 443"/>
                        <wps:cNvSpPr/>
                        <wps:spPr>
                          <a:xfrm>
                            <a:off x="6858000" y="1143000"/>
                            <a:ext cx="0" cy="1383792"/>
                          </a:xfrm>
                          <a:custGeom>
                            <a:avLst/>
                            <a:gdLst/>
                            <a:ahLst/>
                            <a:cxnLst/>
                            <a:rect l="0" t="0" r="0" b="0"/>
                            <a:pathLst>
                              <a:path h="1383792">
                                <a:moveTo>
                                  <a:pt x="0" y="0"/>
                                </a:moveTo>
                                <a:lnTo>
                                  <a:pt x="0" y="1383792"/>
                                </a:lnTo>
                              </a:path>
                            </a:pathLst>
                          </a:custGeom>
                          <a:ln w="9144" cap="rnd">
                            <a:round/>
                          </a:ln>
                        </wps:spPr>
                        <wps:style>
                          <a:lnRef idx="1">
                            <a:srgbClr val="5592C8"/>
                          </a:lnRef>
                          <a:fillRef idx="0">
                            <a:srgbClr val="000000">
                              <a:alpha val="0"/>
                            </a:srgbClr>
                          </a:fillRef>
                          <a:effectRef idx="0">
                            <a:scrgbClr r="0" g="0" b="0"/>
                          </a:effectRef>
                          <a:fontRef idx="none"/>
                        </wps:style>
                        <wps:bodyPr/>
                      </wps:wsp>
                      <wps:wsp>
                        <wps:cNvPr id="444" name="Shape 444"/>
                        <wps:cNvSpPr/>
                        <wps:spPr>
                          <a:xfrm>
                            <a:off x="6816852" y="2517648"/>
                            <a:ext cx="83820" cy="82296"/>
                          </a:xfrm>
                          <a:custGeom>
                            <a:avLst/>
                            <a:gdLst/>
                            <a:ahLst/>
                            <a:cxnLst/>
                            <a:rect l="0" t="0" r="0" b="0"/>
                            <a:pathLst>
                              <a:path w="83820" h="82296">
                                <a:moveTo>
                                  <a:pt x="0" y="0"/>
                                </a:moveTo>
                                <a:lnTo>
                                  <a:pt x="83820" y="0"/>
                                </a:lnTo>
                                <a:lnTo>
                                  <a:pt x="41148" y="82296"/>
                                </a:lnTo>
                                <a:lnTo>
                                  <a:pt x="0" y="0"/>
                                </a:lnTo>
                                <a:close/>
                              </a:path>
                            </a:pathLst>
                          </a:custGeom>
                          <a:ln w="0" cap="flat">
                            <a:miter lim="127000"/>
                          </a:ln>
                        </wps:spPr>
                        <wps:style>
                          <a:lnRef idx="0">
                            <a:srgbClr val="000000">
                              <a:alpha val="0"/>
                            </a:srgbClr>
                          </a:lnRef>
                          <a:fillRef idx="1">
                            <a:srgbClr val="5592C8"/>
                          </a:fillRef>
                          <a:effectRef idx="0">
                            <a:scrgbClr r="0" g="0" b="0"/>
                          </a:effectRef>
                          <a:fontRef idx="none"/>
                        </wps:style>
                        <wps:bodyPr/>
                      </wps:wsp>
                      <wps:wsp>
                        <wps:cNvPr id="3326" name="Shape 3326"/>
                        <wps:cNvSpPr/>
                        <wps:spPr>
                          <a:xfrm>
                            <a:off x="6594348" y="1780032"/>
                            <a:ext cx="528828" cy="182880"/>
                          </a:xfrm>
                          <a:custGeom>
                            <a:avLst/>
                            <a:gdLst/>
                            <a:ahLst/>
                            <a:cxnLst/>
                            <a:rect l="0" t="0" r="0" b="0"/>
                            <a:pathLst>
                              <a:path w="528828" h="182880">
                                <a:moveTo>
                                  <a:pt x="0" y="0"/>
                                </a:moveTo>
                                <a:lnTo>
                                  <a:pt x="528828" y="0"/>
                                </a:lnTo>
                                <a:lnTo>
                                  <a:pt x="528828" y="182880"/>
                                </a:lnTo>
                                <a:lnTo>
                                  <a:pt x="0" y="1828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6" name="Rectangle 446"/>
                        <wps:cNvSpPr/>
                        <wps:spPr>
                          <a:xfrm>
                            <a:off x="6594348" y="1804416"/>
                            <a:ext cx="704355" cy="202692"/>
                          </a:xfrm>
                          <a:prstGeom prst="rect">
                            <a:avLst/>
                          </a:prstGeom>
                          <a:ln>
                            <a:noFill/>
                          </a:ln>
                        </wps:spPr>
                        <wps:txbx>
                          <w:txbxContent>
                            <w:p w14:paraId="612ECA47" w14:textId="77777777" w:rsidR="00FB6768" w:rsidRDefault="00FB6768" w:rsidP="00FB6768">
                              <w:pPr>
                                <w:spacing w:after="160"/>
                              </w:pPr>
                              <w:r>
                                <w:rPr>
                                  <w:color w:val="41719D"/>
                                  <w:sz w:val="24"/>
                                </w:rPr>
                                <w:t>Wireless</w:t>
                              </w:r>
                            </w:p>
                          </w:txbxContent>
                        </wps:txbx>
                        <wps:bodyPr horzOverflow="overflow" vert="horz" lIns="0" tIns="0" rIns="0" bIns="0" rtlCol="0">
                          <a:noAutofit/>
                        </wps:bodyPr>
                      </wps:wsp>
                      <wps:wsp>
                        <wps:cNvPr id="447" name="Shape 447"/>
                        <wps:cNvSpPr/>
                        <wps:spPr>
                          <a:xfrm>
                            <a:off x="1371600" y="800100"/>
                            <a:ext cx="5030724" cy="2171700"/>
                          </a:xfrm>
                          <a:custGeom>
                            <a:avLst/>
                            <a:gdLst/>
                            <a:ahLst/>
                            <a:cxnLst/>
                            <a:rect l="0" t="0" r="0" b="0"/>
                            <a:pathLst>
                              <a:path w="5030724" h="2171700">
                                <a:moveTo>
                                  <a:pt x="0" y="0"/>
                                </a:moveTo>
                                <a:lnTo>
                                  <a:pt x="0" y="2171700"/>
                                </a:lnTo>
                                <a:lnTo>
                                  <a:pt x="5030724" y="2171700"/>
                                </a:lnTo>
                              </a:path>
                            </a:pathLst>
                          </a:custGeom>
                          <a:ln w="9144" cap="rnd">
                            <a:round/>
                          </a:ln>
                        </wps:spPr>
                        <wps:style>
                          <a:lnRef idx="1">
                            <a:srgbClr val="5592C8"/>
                          </a:lnRef>
                          <a:fillRef idx="0">
                            <a:srgbClr val="000000">
                              <a:alpha val="0"/>
                            </a:srgbClr>
                          </a:fillRef>
                          <a:effectRef idx="0">
                            <a:scrgbClr r="0" g="0" b="0"/>
                          </a:effectRef>
                          <a:fontRef idx="none"/>
                        </wps:style>
                        <wps:bodyPr/>
                      </wps:wsp>
                      <wps:wsp>
                        <wps:cNvPr id="448" name="Shape 448"/>
                        <wps:cNvSpPr/>
                        <wps:spPr>
                          <a:xfrm>
                            <a:off x="6391657" y="2930652"/>
                            <a:ext cx="83820" cy="83820"/>
                          </a:xfrm>
                          <a:custGeom>
                            <a:avLst/>
                            <a:gdLst/>
                            <a:ahLst/>
                            <a:cxnLst/>
                            <a:rect l="0" t="0" r="0" b="0"/>
                            <a:pathLst>
                              <a:path w="83820" h="83820">
                                <a:moveTo>
                                  <a:pt x="0" y="0"/>
                                </a:moveTo>
                                <a:lnTo>
                                  <a:pt x="83820" y="41148"/>
                                </a:lnTo>
                                <a:lnTo>
                                  <a:pt x="0" y="83820"/>
                                </a:lnTo>
                                <a:lnTo>
                                  <a:pt x="0" y="0"/>
                                </a:lnTo>
                                <a:close/>
                              </a:path>
                            </a:pathLst>
                          </a:custGeom>
                          <a:ln w="0" cap="flat">
                            <a:miter lim="127000"/>
                          </a:ln>
                        </wps:spPr>
                        <wps:style>
                          <a:lnRef idx="0">
                            <a:srgbClr val="000000">
                              <a:alpha val="0"/>
                            </a:srgbClr>
                          </a:lnRef>
                          <a:fillRef idx="1">
                            <a:srgbClr val="5592C8"/>
                          </a:fillRef>
                          <a:effectRef idx="0">
                            <a:scrgbClr r="0" g="0" b="0"/>
                          </a:effectRef>
                          <a:fontRef idx="none"/>
                        </wps:style>
                        <wps:bodyPr/>
                      </wps:wsp>
                      <wps:wsp>
                        <wps:cNvPr id="3327" name="Shape 3327"/>
                        <wps:cNvSpPr/>
                        <wps:spPr>
                          <a:xfrm>
                            <a:off x="2238756" y="2880360"/>
                            <a:ext cx="1197864" cy="182880"/>
                          </a:xfrm>
                          <a:custGeom>
                            <a:avLst/>
                            <a:gdLst/>
                            <a:ahLst/>
                            <a:cxnLst/>
                            <a:rect l="0" t="0" r="0" b="0"/>
                            <a:pathLst>
                              <a:path w="1197864" h="182880">
                                <a:moveTo>
                                  <a:pt x="0" y="0"/>
                                </a:moveTo>
                                <a:lnTo>
                                  <a:pt x="1197864" y="0"/>
                                </a:lnTo>
                                <a:lnTo>
                                  <a:pt x="1197864" y="182880"/>
                                </a:lnTo>
                                <a:lnTo>
                                  <a:pt x="0" y="1828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0" name="Rectangle 450"/>
                        <wps:cNvSpPr/>
                        <wps:spPr>
                          <a:xfrm>
                            <a:off x="2238756" y="2904744"/>
                            <a:ext cx="1594173" cy="202692"/>
                          </a:xfrm>
                          <a:prstGeom prst="rect">
                            <a:avLst/>
                          </a:prstGeom>
                          <a:ln>
                            <a:noFill/>
                          </a:ln>
                        </wps:spPr>
                        <wps:txbx>
                          <w:txbxContent>
                            <w:p w14:paraId="00D77BF9" w14:textId="77777777" w:rsidR="00FB6768" w:rsidRDefault="00FB6768" w:rsidP="00FB6768">
                              <w:pPr>
                                <w:spacing w:after="160"/>
                              </w:pPr>
                              <w:r>
                                <w:rPr>
                                  <w:color w:val="41719D"/>
                                  <w:sz w:val="24"/>
                                </w:rPr>
                                <w:t>Via Docking Station</w:t>
                              </w:r>
                            </w:p>
                          </w:txbxContent>
                        </wps:txbx>
                        <wps:bodyPr horzOverflow="overflow" vert="horz" lIns="0" tIns="0" rIns="0" bIns="0" rtlCol="0">
                          <a:noAutofit/>
                        </wps:bodyPr>
                      </wps:wsp>
                      <wps:wsp>
                        <wps:cNvPr id="451" name="Shape 451"/>
                        <wps:cNvSpPr/>
                        <wps:spPr>
                          <a:xfrm>
                            <a:off x="1371600" y="1257300"/>
                            <a:ext cx="2514600" cy="228600"/>
                          </a:xfrm>
                          <a:custGeom>
                            <a:avLst/>
                            <a:gdLst/>
                            <a:ahLst/>
                            <a:cxnLst/>
                            <a:rect l="0" t="0" r="0" b="0"/>
                            <a:pathLst>
                              <a:path w="2514600" h="228600">
                                <a:moveTo>
                                  <a:pt x="2514600" y="228600"/>
                                </a:moveTo>
                                <a:lnTo>
                                  <a:pt x="0" y="0"/>
                                </a:lnTo>
                              </a:path>
                            </a:pathLst>
                          </a:custGeom>
                          <a:ln w="6096" cap="rnd">
                            <a:round/>
                          </a:ln>
                        </wps:spPr>
                        <wps:style>
                          <a:lnRef idx="1">
                            <a:srgbClr val="5592C8"/>
                          </a:lnRef>
                          <a:fillRef idx="0">
                            <a:srgbClr val="000000">
                              <a:alpha val="0"/>
                            </a:srgbClr>
                          </a:fillRef>
                          <a:effectRef idx="0">
                            <a:scrgbClr r="0" g="0" b="0"/>
                          </a:effectRef>
                          <a:fontRef idx="none"/>
                        </wps:style>
                        <wps:bodyPr/>
                      </wps:wsp>
                      <wps:wsp>
                        <wps:cNvPr id="3328" name="Shape 3328"/>
                        <wps:cNvSpPr/>
                        <wps:spPr>
                          <a:xfrm>
                            <a:off x="3429000" y="1143000"/>
                            <a:ext cx="914400" cy="685800"/>
                          </a:xfrm>
                          <a:custGeom>
                            <a:avLst/>
                            <a:gdLst/>
                            <a:ahLst/>
                            <a:cxnLst/>
                            <a:rect l="0" t="0" r="0" b="0"/>
                            <a:pathLst>
                              <a:path w="914400" h="685800">
                                <a:moveTo>
                                  <a:pt x="0" y="0"/>
                                </a:moveTo>
                                <a:lnTo>
                                  <a:pt x="914400" y="0"/>
                                </a:lnTo>
                                <a:lnTo>
                                  <a:pt x="914400" y="685800"/>
                                </a:lnTo>
                                <a:lnTo>
                                  <a:pt x="0" y="685800"/>
                                </a:lnTo>
                                <a:lnTo>
                                  <a:pt x="0" y="0"/>
                                </a:lnTo>
                              </a:path>
                            </a:pathLst>
                          </a:custGeom>
                          <a:ln w="0" cap="flat">
                            <a:miter lim="127000"/>
                          </a:ln>
                        </wps:spPr>
                        <wps:style>
                          <a:lnRef idx="0">
                            <a:srgbClr val="000000">
                              <a:alpha val="0"/>
                            </a:srgbClr>
                          </a:lnRef>
                          <a:fillRef idx="1">
                            <a:srgbClr val="E8EFD1"/>
                          </a:fillRef>
                          <a:effectRef idx="0">
                            <a:scrgbClr r="0" g="0" b="0"/>
                          </a:effectRef>
                          <a:fontRef idx="none"/>
                        </wps:style>
                        <wps:bodyPr/>
                      </wps:wsp>
                      <wps:wsp>
                        <wps:cNvPr id="453" name="Shape 453"/>
                        <wps:cNvSpPr/>
                        <wps:spPr>
                          <a:xfrm>
                            <a:off x="3429000" y="1143000"/>
                            <a:ext cx="914400" cy="685800"/>
                          </a:xfrm>
                          <a:custGeom>
                            <a:avLst/>
                            <a:gdLst/>
                            <a:ahLst/>
                            <a:cxnLst/>
                            <a:rect l="0" t="0" r="0" b="0"/>
                            <a:pathLst>
                              <a:path w="914400" h="685800">
                                <a:moveTo>
                                  <a:pt x="0" y="685800"/>
                                </a:moveTo>
                                <a:lnTo>
                                  <a:pt x="914400" y="685800"/>
                                </a:lnTo>
                                <a:lnTo>
                                  <a:pt x="914400" y="0"/>
                                </a:lnTo>
                                <a:lnTo>
                                  <a:pt x="0" y="0"/>
                                </a:lnTo>
                                <a:lnTo>
                                  <a:pt x="0" y="685800"/>
                                </a:lnTo>
                                <a:close/>
                              </a:path>
                            </a:pathLst>
                          </a:custGeom>
                          <a:ln w="6096" cap="rnd">
                            <a:round/>
                          </a:ln>
                        </wps:spPr>
                        <wps:style>
                          <a:lnRef idx="1">
                            <a:srgbClr val="FFFFFF"/>
                          </a:lnRef>
                          <a:fillRef idx="0">
                            <a:srgbClr val="000000">
                              <a:alpha val="0"/>
                            </a:srgbClr>
                          </a:fillRef>
                          <a:effectRef idx="0">
                            <a:scrgbClr r="0" g="0" b="0"/>
                          </a:effectRef>
                          <a:fontRef idx="none"/>
                        </wps:style>
                        <wps:bodyPr/>
                      </wps:wsp>
                      <wps:wsp>
                        <wps:cNvPr id="454" name="Rectangle 454"/>
                        <wps:cNvSpPr/>
                        <wps:spPr>
                          <a:xfrm>
                            <a:off x="3480818" y="1136541"/>
                            <a:ext cx="978856" cy="135804"/>
                          </a:xfrm>
                          <a:prstGeom prst="rect">
                            <a:avLst/>
                          </a:prstGeom>
                          <a:ln>
                            <a:noFill/>
                          </a:ln>
                        </wps:spPr>
                        <wps:txbx>
                          <w:txbxContent>
                            <w:p w14:paraId="6B849B3D" w14:textId="77777777" w:rsidR="00FB6768" w:rsidRDefault="00FB6768" w:rsidP="00FB6768">
                              <w:pPr>
                                <w:spacing w:after="160"/>
                              </w:pPr>
                              <w:r>
                                <w:rPr>
                                  <w:color w:val="5B9BD4"/>
                                  <w:sz w:val="16"/>
                                </w:rPr>
                                <w:t xml:space="preserve">User can connect </w:t>
                              </w:r>
                            </w:p>
                          </w:txbxContent>
                        </wps:txbx>
                        <wps:bodyPr horzOverflow="overflow" vert="horz" lIns="0" tIns="0" rIns="0" bIns="0" rtlCol="0">
                          <a:noAutofit/>
                        </wps:bodyPr>
                      </wps:wsp>
                      <wps:wsp>
                        <wps:cNvPr id="455" name="Rectangle 455"/>
                        <wps:cNvSpPr/>
                        <wps:spPr>
                          <a:xfrm>
                            <a:off x="3480818" y="1258458"/>
                            <a:ext cx="1074661" cy="135804"/>
                          </a:xfrm>
                          <a:prstGeom prst="rect">
                            <a:avLst/>
                          </a:prstGeom>
                          <a:ln>
                            <a:noFill/>
                          </a:ln>
                        </wps:spPr>
                        <wps:txbx>
                          <w:txbxContent>
                            <w:p w14:paraId="2F5B875E" w14:textId="77777777" w:rsidR="00FB6768" w:rsidRDefault="00FB6768" w:rsidP="00FB6768">
                              <w:pPr>
                                <w:spacing w:after="160"/>
                              </w:pPr>
                              <w:r>
                                <w:rPr>
                                  <w:color w:val="5B9BD4"/>
                                  <w:sz w:val="16"/>
                                </w:rPr>
                                <w:t xml:space="preserve">via intranet or VPN </w:t>
                              </w:r>
                            </w:p>
                          </w:txbxContent>
                        </wps:txbx>
                        <wps:bodyPr horzOverflow="overflow" vert="horz" lIns="0" tIns="0" rIns="0" bIns="0" rtlCol="0">
                          <a:noAutofit/>
                        </wps:bodyPr>
                      </wps:wsp>
                      <wps:wsp>
                        <wps:cNvPr id="456" name="Rectangle 456"/>
                        <wps:cNvSpPr/>
                        <wps:spPr>
                          <a:xfrm>
                            <a:off x="3480818" y="1380375"/>
                            <a:ext cx="1108908" cy="135804"/>
                          </a:xfrm>
                          <a:prstGeom prst="rect">
                            <a:avLst/>
                          </a:prstGeom>
                          <a:ln>
                            <a:noFill/>
                          </a:ln>
                        </wps:spPr>
                        <wps:txbx>
                          <w:txbxContent>
                            <w:p w14:paraId="6C0C43F4" w14:textId="77777777" w:rsidR="00FB6768" w:rsidRDefault="00FB6768" w:rsidP="00FB6768">
                              <w:pPr>
                                <w:spacing w:after="160"/>
                              </w:pPr>
                              <w:r>
                                <w:rPr>
                                  <w:color w:val="5B9BD4"/>
                                  <w:sz w:val="16"/>
                                </w:rPr>
                                <w:t xml:space="preserve">to synchronize data </w:t>
                              </w:r>
                            </w:p>
                          </w:txbxContent>
                        </wps:txbx>
                        <wps:bodyPr horzOverflow="overflow" vert="horz" lIns="0" tIns="0" rIns="0" bIns="0" rtlCol="0">
                          <a:noAutofit/>
                        </wps:bodyPr>
                      </wps:wsp>
                      <wps:wsp>
                        <wps:cNvPr id="457" name="Rectangle 457"/>
                        <wps:cNvSpPr/>
                        <wps:spPr>
                          <a:xfrm>
                            <a:off x="3480818" y="1502292"/>
                            <a:ext cx="900595" cy="135804"/>
                          </a:xfrm>
                          <a:prstGeom prst="rect">
                            <a:avLst/>
                          </a:prstGeom>
                          <a:ln>
                            <a:noFill/>
                          </a:ln>
                        </wps:spPr>
                        <wps:txbx>
                          <w:txbxContent>
                            <w:p w14:paraId="35309777" w14:textId="77777777" w:rsidR="00FB6768" w:rsidRDefault="00FB6768" w:rsidP="00FB6768">
                              <w:pPr>
                                <w:spacing w:after="160"/>
                              </w:pPr>
                              <w:r>
                                <w:rPr>
                                  <w:color w:val="5B9BD4"/>
                                  <w:sz w:val="16"/>
                                </w:rPr>
                                <w:t xml:space="preserve">between laptop </w:t>
                              </w:r>
                            </w:p>
                          </w:txbxContent>
                        </wps:txbx>
                        <wps:bodyPr horzOverflow="overflow" vert="horz" lIns="0" tIns="0" rIns="0" bIns="0" rtlCol="0">
                          <a:noAutofit/>
                        </wps:bodyPr>
                      </wps:wsp>
                      <wps:wsp>
                        <wps:cNvPr id="458" name="Rectangle 458"/>
                        <wps:cNvSpPr/>
                        <wps:spPr>
                          <a:xfrm>
                            <a:off x="3480818" y="1624209"/>
                            <a:ext cx="1058695" cy="135804"/>
                          </a:xfrm>
                          <a:prstGeom prst="rect">
                            <a:avLst/>
                          </a:prstGeom>
                          <a:ln>
                            <a:noFill/>
                          </a:ln>
                        </wps:spPr>
                        <wps:txbx>
                          <w:txbxContent>
                            <w:p w14:paraId="4C04E66A" w14:textId="77777777" w:rsidR="00FB6768" w:rsidRDefault="00FB6768" w:rsidP="00FB6768">
                              <w:pPr>
                                <w:spacing w:after="160"/>
                              </w:pPr>
                              <w:r>
                                <w:rPr>
                                  <w:color w:val="5B9BD4"/>
                                  <w:sz w:val="16"/>
                                </w:rPr>
                                <w:t xml:space="preserve">and base tables on </w:t>
                              </w:r>
                            </w:p>
                          </w:txbxContent>
                        </wps:txbx>
                        <wps:bodyPr horzOverflow="overflow" vert="horz" lIns="0" tIns="0" rIns="0" bIns="0" rtlCol="0">
                          <a:noAutofit/>
                        </wps:bodyPr>
                      </wps:wsp>
                      <wps:wsp>
                        <wps:cNvPr id="459" name="Rectangle 459"/>
                        <wps:cNvSpPr/>
                        <wps:spPr>
                          <a:xfrm>
                            <a:off x="3480818" y="1746126"/>
                            <a:ext cx="377615" cy="135804"/>
                          </a:xfrm>
                          <a:prstGeom prst="rect">
                            <a:avLst/>
                          </a:prstGeom>
                          <a:ln>
                            <a:noFill/>
                          </a:ln>
                        </wps:spPr>
                        <wps:txbx>
                          <w:txbxContent>
                            <w:p w14:paraId="1E94FB77" w14:textId="77777777" w:rsidR="00FB6768" w:rsidRDefault="00FB6768" w:rsidP="00FB6768">
                              <w:pPr>
                                <w:spacing w:after="160"/>
                              </w:pPr>
                              <w:r>
                                <w:rPr>
                                  <w:color w:val="5B9BD4"/>
                                  <w:sz w:val="16"/>
                                </w:rPr>
                                <w:t>server.</w:t>
                              </w:r>
                            </w:p>
                          </w:txbxContent>
                        </wps:txbx>
                        <wps:bodyPr horzOverflow="overflow" vert="horz" lIns="0" tIns="0" rIns="0" bIns="0" rtlCol="0">
                          <a:noAutofit/>
                        </wps:bodyPr>
                      </wps:wsp>
                      <wps:wsp>
                        <wps:cNvPr id="460" name="Shape 460"/>
                        <wps:cNvSpPr/>
                        <wps:spPr>
                          <a:xfrm>
                            <a:off x="4343400" y="914400"/>
                            <a:ext cx="2514600" cy="629412"/>
                          </a:xfrm>
                          <a:custGeom>
                            <a:avLst/>
                            <a:gdLst/>
                            <a:ahLst/>
                            <a:cxnLst/>
                            <a:rect l="0" t="0" r="0" b="0"/>
                            <a:pathLst>
                              <a:path w="2514600" h="629412">
                                <a:moveTo>
                                  <a:pt x="0" y="629412"/>
                                </a:moveTo>
                                <a:lnTo>
                                  <a:pt x="2514600" y="629412"/>
                                </a:lnTo>
                                <a:lnTo>
                                  <a:pt x="2514600" y="0"/>
                                </a:lnTo>
                              </a:path>
                            </a:pathLst>
                          </a:custGeom>
                          <a:ln w="9144" cap="rnd">
                            <a:round/>
                          </a:ln>
                        </wps:spPr>
                        <wps:style>
                          <a:lnRef idx="1">
                            <a:srgbClr val="5592C8"/>
                          </a:lnRef>
                          <a:fillRef idx="0">
                            <a:srgbClr val="000000">
                              <a:alpha val="0"/>
                            </a:srgbClr>
                          </a:fillRef>
                          <a:effectRef idx="0">
                            <a:scrgbClr r="0" g="0" b="0"/>
                          </a:effectRef>
                          <a:fontRef idx="none"/>
                        </wps:style>
                        <wps:bodyPr/>
                      </wps:wsp>
                      <wps:wsp>
                        <wps:cNvPr id="461" name="Shape 461"/>
                        <wps:cNvSpPr/>
                        <wps:spPr>
                          <a:xfrm>
                            <a:off x="0" y="492252"/>
                            <a:ext cx="2743200" cy="376428"/>
                          </a:xfrm>
                          <a:custGeom>
                            <a:avLst/>
                            <a:gdLst/>
                            <a:ahLst/>
                            <a:cxnLst/>
                            <a:rect l="0" t="0" r="0" b="0"/>
                            <a:pathLst>
                              <a:path w="2743200" h="376428">
                                <a:moveTo>
                                  <a:pt x="342900" y="17145"/>
                                </a:moveTo>
                                <a:cubicBezTo>
                                  <a:pt x="459486" y="17145"/>
                                  <a:pt x="576072" y="34290"/>
                                  <a:pt x="685800" y="68580"/>
                                </a:cubicBezTo>
                                <a:cubicBezTo>
                                  <a:pt x="905256" y="137160"/>
                                  <a:pt x="1152144" y="137160"/>
                                  <a:pt x="1371600" y="68580"/>
                                </a:cubicBezTo>
                                <a:cubicBezTo>
                                  <a:pt x="1591056" y="0"/>
                                  <a:pt x="1837944" y="0"/>
                                  <a:pt x="2057400" y="68580"/>
                                </a:cubicBezTo>
                                <a:cubicBezTo>
                                  <a:pt x="2276856" y="137160"/>
                                  <a:pt x="2523744" y="137160"/>
                                  <a:pt x="2743200" y="68580"/>
                                </a:cubicBezTo>
                                <a:lnTo>
                                  <a:pt x="2743200" y="307848"/>
                                </a:lnTo>
                                <a:cubicBezTo>
                                  <a:pt x="2523744" y="376428"/>
                                  <a:pt x="2276856" y="376428"/>
                                  <a:pt x="2057400" y="307848"/>
                                </a:cubicBezTo>
                                <a:cubicBezTo>
                                  <a:pt x="1837944" y="239268"/>
                                  <a:pt x="1591056" y="239268"/>
                                  <a:pt x="1371600" y="307848"/>
                                </a:cubicBezTo>
                                <a:cubicBezTo>
                                  <a:pt x="1152144" y="376428"/>
                                  <a:pt x="905256" y="376428"/>
                                  <a:pt x="685800" y="307848"/>
                                </a:cubicBezTo>
                                <a:cubicBezTo>
                                  <a:pt x="466344" y="239268"/>
                                  <a:pt x="219456" y="239268"/>
                                  <a:pt x="0" y="307848"/>
                                </a:cubicBezTo>
                                <a:lnTo>
                                  <a:pt x="0" y="68580"/>
                                </a:lnTo>
                                <a:cubicBezTo>
                                  <a:pt x="109728" y="34290"/>
                                  <a:pt x="226314" y="17145"/>
                                  <a:pt x="342900" y="17145"/>
                                </a:cubicBez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462" name="Shape 462"/>
                        <wps:cNvSpPr/>
                        <wps:spPr>
                          <a:xfrm>
                            <a:off x="0" y="492252"/>
                            <a:ext cx="2743200" cy="376428"/>
                          </a:xfrm>
                          <a:custGeom>
                            <a:avLst/>
                            <a:gdLst/>
                            <a:ahLst/>
                            <a:cxnLst/>
                            <a:rect l="0" t="0" r="0" b="0"/>
                            <a:pathLst>
                              <a:path w="2743200" h="376428">
                                <a:moveTo>
                                  <a:pt x="0" y="307848"/>
                                </a:moveTo>
                                <a:cubicBezTo>
                                  <a:pt x="219456" y="239268"/>
                                  <a:pt x="466344" y="239268"/>
                                  <a:pt x="685800" y="307848"/>
                                </a:cubicBezTo>
                                <a:cubicBezTo>
                                  <a:pt x="905256" y="376428"/>
                                  <a:pt x="1152144" y="376428"/>
                                  <a:pt x="1371600" y="307848"/>
                                </a:cubicBezTo>
                                <a:cubicBezTo>
                                  <a:pt x="1591056" y="239268"/>
                                  <a:pt x="1837944" y="239268"/>
                                  <a:pt x="2057400" y="307848"/>
                                </a:cubicBezTo>
                                <a:cubicBezTo>
                                  <a:pt x="2276856" y="376428"/>
                                  <a:pt x="2523744" y="376428"/>
                                  <a:pt x="2743200" y="307848"/>
                                </a:cubicBezTo>
                                <a:lnTo>
                                  <a:pt x="2743200" y="68580"/>
                                </a:lnTo>
                                <a:cubicBezTo>
                                  <a:pt x="2523744" y="137160"/>
                                  <a:pt x="2276856" y="137160"/>
                                  <a:pt x="2057400" y="68580"/>
                                </a:cubicBezTo>
                                <a:cubicBezTo>
                                  <a:pt x="1837944" y="0"/>
                                  <a:pt x="1591056" y="0"/>
                                  <a:pt x="1371600" y="68580"/>
                                </a:cubicBezTo>
                                <a:cubicBezTo>
                                  <a:pt x="1152144" y="137160"/>
                                  <a:pt x="905256" y="137160"/>
                                  <a:pt x="685800" y="68580"/>
                                </a:cubicBezTo>
                                <a:cubicBezTo>
                                  <a:pt x="466344" y="0"/>
                                  <a:pt x="219456" y="0"/>
                                  <a:pt x="0" y="68580"/>
                                </a:cubicBezTo>
                                <a:lnTo>
                                  <a:pt x="0" y="307848"/>
                                </a:lnTo>
                                <a:close/>
                              </a:path>
                            </a:pathLst>
                          </a:custGeom>
                          <a:ln w="6096" cap="rnd">
                            <a:round/>
                          </a:ln>
                        </wps:spPr>
                        <wps:style>
                          <a:lnRef idx="1">
                            <a:srgbClr val="FFFFFF"/>
                          </a:lnRef>
                          <a:fillRef idx="0">
                            <a:srgbClr val="000000">
                              <a:alpha val="0"/>
                            </a:srgbClr>
                          </a:fillRef>
                          <a:effectRef idx="0">
                            <a:scrgbClr r="0" g="0" b="0"/>
                          </a:effectRef>
                          <a:fontRef idx="none"/>
                        </wps:style>
                        <wps:bodyPr/>
                      </wps:wsp>
                      <wps:wsp>
                        <wps:cNvPr id="463" name="Rectangle 463"/>
                        <wps:cNvSpPr/>
                        <wps:spPr>
                          <a:xfrm>
                            <a:off x="867133" y="624397"/>
                            <a:ext cx="1343084" cy="168234"/>
                          </a:xfrm>
                          <a:prstGeom prst="rect">
                            <a:avLst/>
                          </a:prstGeom>
                          <a:ln>
                            <a:noFill/>
                          </a:ln>
                        </wps:spPr>
                        <wps:txbx>
                          <w:txbxContent>
                            <w:p w14:paraId="458BCBD6" w14:textId="77777777" w:rsidR="00FB6768" w:rsidRDefault="00FB6768" w:rsidP="00FB6768">
                              <w:pPr>
                                <w:spacing w:after="160"/>
                              </w:pPr>
                              <w:r>
                                <w:rPr>
                                  <w:color w:val="FFFFFF"/>
                                  <w:sz w:val="20"/>
                                </w:rPr>
                                <w:t>Local Area Network</w:t>
                              </w:r>
                            </w:p>
                          </w:txbxContent>
                        </wps:txbx>
                        <wps:bodyPr horzOverflow="overflow" vert="horz" lIns="0" tIns="0" rIns="0" bIns="0" rtlCol="0">
                          <a:noAutofit/>
                        </wps:bodyPr>
                      </wps:wsp>
                    </wpg:wgp>
                  </a:graphicData>
                </a:graphic>
              </wp:inline>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4EF71D74" id="Group 3067" o:spid="_x0000_s1026" style="width:588.2pt;height:374.8pt;rotation:-90;mso-position-horizontal-relative:char;mso-position-vertical-relative:line" coordsize="73152,33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6vmuBMAADGrAAAOAAAAZHJzL2Uyb0RvYy54bWzsXetuGzcW/r/AvoPg/xsP5z5GnCJtmmKB&#10;xbZouw+gyPIFkCVBUuKkT78feXiGPMORPHQTOZbkAJE0vB/yfDw3cl7/8Pl+Nvo0Xa3vFvPLM/Uq&#10;ORtN55PF1d385vLsf3++/1d9NlpvxvOr8Wwxn16efZmuz354889/vH5YXkzTxe1idjVdjVDJfH3x&#10;sLw8u91slhfn5+vJ7fR+vH61WE7nSLxerO7HG/xc3ZxfrcYPqP1+dp4mSXn+sFhdLVeLyXS9xtN3&#10;lHj2xtR/fT2dbH69vl5PN6PZ5Rn6tjH/r8z/H/T/529ejy9uVuPl7d3EdmP8hF7cj+/maLSt6t14&#10;Mx59XN0FVd3fTVaL9eJ682qyuD9fXF/fTaZmDBiNSjqj+WW1+Lg0Y7m5eLhZtmQCaTt0enK1k/9+&#10;+m01uru6PMuSsjobzcf3mCXT8Mg8AYEeljcXyPfLavnH8reVfXBDv/SYP1+v7kerBWirSswJ/gwp&#10;MLjRZ0PpLy2lp583owkeVnnZ1GlxNpogLa/KJK0qmovJLSYsKDe5/ZlLZqpAI1Qyy/JC1WYWz6kf&#10;b16f6+62vXtYYl2tHenWf490f9yOl1MzI2tNEku6PEV/iHImw0g/MHQyuVqqrS/WICCTTH9aGpWN&#10;qpsSlYAaKk/SpCZiMLmKJs9KGrKqVVaUOrkd8fhi8nG9+WW6uNdVjj/9Z71BMtbiFX8b3/K3yec5&#10;f12BOXayxXK80eV0Vfrr6OHyzHbkFt2kfujE+8Wn6Z8Lk22jZ06VVZmbsfDMuByTjx/uJj9O//Lz&#10;52lZpSZ/qjKM03R+aaqy7YEsRV6j0t6kRuU5tyTrl7+6Vaq0TpRozvVElQmmwW/PjUpMgWxiNvcH&#10;Zie0BCOZCcWMcQZZjHpGo6c1kFe0rEF6Q4gsK1JAqV4fqq5BLo8SLi2OEq5cmeZ14VfpupKVRSVo&#10;ZAdVpzWPSY6FR0j9dlTjGeL0yWyxnmIUIIpeXe0Xs+Lw0F/Ts7lefGh5MsYecT0bbwzC3N9tsHnM&#10;7u5BlbTSuEP1zeYGBpjdNAasN19mU71EZ/Pfp9cAPINM+sF6dfPhp9lq9GmstwjzZyofz5a3Y/vU&#10;1muzmq6aenT567vZrK1SmaKiyrdv36W1ATcMymbW5aZmd2pLEmauJ7Y3tEUB6DFo3qhQvi1kWl7M&#10;N235ObZX001vtPrrh8XVFwPawEUDhRrP94KJqouJSvdPNw7kHICJVdaAQw8EEx2y8CJ1mMgcEeCT&#10;x2OcR/KaxYZa6Q0R2BAwa1o02Et0UsjibVIcargqe5Co7QkguYNgDsqVD4hyQDxMGpgjmoBcziSL&#10;dvEmRHCLXAHq0/M4KlCZAgLIlk0i2MrcYHgFyP6f8FBL6y2eHR4eQsSRMqLZxIfjYVNldUpyFcRn&#10;3pRZRKybBrKMkaczlVoBFDuGFs71ZuFvp99URLQdgYho+6Fbd2DXZVNmBpdDsgXlLxMWjwOIs+0B&#10;4pq0kSKiS1JF2ZDQZCQLXwbta84VTFWTk7jNkpjrSloVdS5kUiftiDmQTTB80cgISNImLUnoR/84&#10;gyxG2bMGQG4AHQXKRLRe5okF+xTQLAVplxZJCq9gkmC8eg9nUrjOQAuTkrTF2qZWZpUHVOcxblsO&#10;nH5CxQNHxayLilmclFgWWYVVqUWcF4+KlbZtmKGEqMgMQQzjAEp5LMZ5+oCjSIAxpu6AVz2JLmBx&#10;Ly0OQl3BEIxcX0IQcyMTmCiHxAMlYjiyCdTlTLIoFUmrPLMmhwDELSIHwG8hLY4MVCjYmVz7wX7m&#10;RsOLQA7ghIgHjogAMyknmj13sJxYJRn0K1L6zAqC1cDaTlWa5RBYyOhaqqqViPYuJHJPICXm1JGv&#10;ISXWadrAho2toCgzMk+xqMINIk1ldSnlGC8xzVSZ9xu2JBtawcVSFNVmKahu7bYWpNvu5EmRdZps&#10;baR2/GS5km0wglF1BCV5rrQozIYuMjfKYpTd6dtZk0Ad9wW3piq0PVn3WhU5GSeZUi4tkhauoMqx&#10;AkWDrjMVfASCShZWvW1MjkYSwUnYAQ1O9sTD1p/hLZK4aCzWg3GxLIpKI55e9S8dF5OyhHugHQm0&#10;K6c+d/jFAdRQSdFpfAGvpnkGP4FuN2RxlxaJG65gCEauLzAGY9A+iHmoLUBxJ3w4ygncZaLJsgSk&#10;uVLYEfSgQxinSQihn55HEsIiYbA9uQ6E25obD+OhHMJJWjxwaRHbuERF46wbjooH5Xl2Hk3fmu+w&#10;UfIGsbcrE/oznBs09GdYbh3qy3CCy2BfhvMYhL4MJ1CFXmyX5lNBjl3+6kqMgbPddSXwa7iB9SMQ&#10;Qyu1Yak20LPl6B+oyW7atGdLCJsuacf4o6VFbfe1DujV/Mr4eRGeM79iSXyQy7nHP/ze/LUCPRwg&#10;WhUSXmXrC3mao/qYXM5tABOH4Ri/ewQYHpCLxYlOwuK/GwxdodBq56z9odXOyju+F0MijEQBhxmD&#10;LXa73C6ezTCw2rk0QQbZO/mLkMoVDKx3ri8BLLmRRaChp/synfp65CYgMOG6eUMoQMdL46XtsF2e&#10;8BBaoUbeQwrBgdoihUOjQA3GwyMxJTLPCQllIE86WStQlnfZw1xapI7oCobKsutLaPEjgB6uJ/eb&#10;J5lSfeikja9kUwzVZE9VD3VlLzGSGF7J0Kjr+hNqze3o+kE6Xmk+CYdaZv2+4xGbLhg2WugeDIbl&#10;QcUjOvesryPtFg5dmVDlagP/AonIoZLytD6JIIwrhMBO2WT25HRZinJriQtBBDDPBaopgV4QpEeP&#10;/XHLeuUvsSsEsYOu9VBHd+MQKr+snodGzXjE8g0LnEkWpSJZS/rQRuFmrMe2MST+8yQVHp5UmGH9&#10;C6kQD6KA8JBCbjwO8ZWjoUAYalsutiVQ0pxG6btiJE8zpxNvh7EgnC5LUe4dQSUW8roBkvQ4UjGm&#10;QmFgpGs+DIx0AxEKvxwFj41G46glAoE4kyxKRRztQwuFm+jQsuHSdpHihIUHiIXdQypZ5CGVg3Qq&#10;C9eog0JmPWI2T/kSaiXn6mNQZ4oK3bnaDUxxnKFm69IiNURXMHRYu84Eqrs3tqFQrUJP7C5K7PDp&#10;WlAO3MAWd+MClKhQqHS79nu0dTcUsRLkjJ6UZB1HcmAWQx0UK2XDyEMqddKkNrLWKT0uArFpkhKQ&#10;q099p0meKhPCg/CVvQcg2o4g/tD2oy/+MK8rhJz0h9lIZiBI1PFFFB5jJOo2oo4G3aeh2m4giWQX&#10;cibKuuUvasmVI8kK5bi1GqeEiOtbDZeT6AygHg+ZEftaY9CidlwJMV2ciT8pc1YkNnw9KrPfF66w&#10;b8yIjcdhO9N7aLqCwvQ4IAU9jqMslQlMCfoBhZaKhsMVInseD5Jo/wUeck7rsmzeWSf2EXmcs+7x&#10;FTyI0qUr3PVgVzVC6wo+2M8R21aTMoCJCwBgQLM03jtgck+AmLYjfYhZ15k9ZWLYZFdgYl009nQ3&#10;Z2Xm509CFW5YY6RPAc7Fn5TbsvzjGcOeckXHwrPFj82P70zgDKbpmHi2e8AiM0SIcAQcFs9uY7Bt&#10;it9XYDFmNeJZpaHA21yxHDkDfw6DgnjOPfntvnu/XdbG/f+O8w3j+c1sOsrxMG6bzZuqooXb1EVZ&#10;2EDydpttVJKjHa2XqLJGzHxnm12u6IKlkf5yeaavTjKqH5+kx5LlLHpb1BfQjC/mi/e4G4aE7J4r&#10;aTafP3y2g6BLWka3i9Vfv+IytevZAtfd4FYl8+1M36+GRnXq2Wj27znusMJQNvxlxV8+8JfVZvbT&#10;wlx4Rt14+3GzuL7Tl0KZS2CoNfsDl2Pt60YYfeRIKpeRscr6fDvfdKIUZtHK4jyNRuEBaYx6CZG0&#10;vRBo79IS90Trl9SRPmmJDiz365cS+XCaH25OoYpyBv4kiOSG9ULO0qK9o4lz8WeQ23aTVyudK5O5&#10;iX8GZxzQfkgAbjEeyvW8v7zboY5WCOuG6kK7tmA47HaovCpwbyD5/YumafiAI2NBVRaJPrZjLhhs&#10;iuz5sIB7os+6Ukd6sUBfnSgYfJv8VdZ1bQ8kdTUnaXwgHq9SUMeDDjYGcbeAFBQwD/L3pFWmXwQL&#10;snpmVduMpTeqs6N8HEoGZ/Q7wc3KzlAniIDBcNyBALthcJe7JJd1njDosM9OZd3wWDyIw6ADk0d6&#10;NvhtIOTJGQMEAi/3AKlgsLCzXXxgkPBhYUDLPQTgmuLB4KRbfv+6ZTcmNIuMCT08KYSkpu4uvg0G&#10;PCFi6B7tFQk26m2ySo/II7dq5tJtGzuny1KUW/fCsz6xDLRFlqDH/mBlndySjzwD5ByPKr25T/Bz&#10;gN527fgRBhHyag63ROdNyj7RTIF5+IKEVglCKI12BmslCPdfwDFPQvne7SHGNYuOQAeifvSpQBQ6&#10;PsQcUja5Vvj8rMx3/GmRwBKgM37OxJ8+s/p04nT+tIBhrsTuazyeS/XkvDyrhTizfDyuowwWNcmx&#10;5kmUzqCP1lu/J669V4HHF+p2qoNONMvq27pw2+cz8Sz3BDxrO9LHtFjA6CkbIrbJCVyXl5V5ij+J&#10;t7yMYvSciz99jh2ckXtJlWib/UFfPJ+/xT+7eo6HScEykkf1gxOLMg8TmAzg0wFc5TGrZC3nwPX5&#10;dEie3lbjt9WT7v3d6955N3QKD6LYtIb/z5rMcUMXDPxmfblYUyv34mRwViEo6Tl2UWyd3PzT907a&#10;YbkeGkbsDqYNcFbS/KqX1xSI3PiJY9L6X4lyurym81avLe+Q0hMklcHIsCTcwF5z/G2h8AqmTpCD&#10;DQzWgiWdjX8OjkBcg+0HeIO68XTOcKHOu7cWd9jBHziLkvy5a6uK34FepmIn+Pl4ZEaocZ3YFPMk&#10;ajvSR7etW1bh1TcJGVvcdmSDV41iZ07C85rduzGGe6J3J30knxDaiYR9jOBSJbtwXY8qdl5GMXqu&#10;jj/9xgdnZFJSJYeu2B2p9SXPWx71IgHx8MlsWic4uWhfbteaTBMEF9pQQG2KCSRHjvP72qGA5iWc&#10;7enT44gIzLtRQHgQM5sqw9FNqwMAcvVr0FDcw9wkSyr9vhwt9KSqUnhJ4LMoAhB7Cu4LYJe78nTR&#10;h5QCrgeD3ho03bYbkCAWLU9KxPevVHdDWkgJGO5R0ueyC/KGpg3eWwqFQnCUr0SYg4a09PYuw3hK&#10;hOnG0znJKRGkJuziJeI6KvF4PoYaFm1OSsRBx5NBZehsZ+YJ1slg9kvTrK7wujntUtGCeUZv+nAb&#10;mlJNpd+D/B1oEW1XvoYa0Vb2qB7h5xysHwzOKFn2pEj470k+nFcTF8BxMrV5igQePplVmySvugHo&#10;CgYBVcHIbWTPvWsSrc/rODSJonuRDx7ETKevSai0qOx5AYe8aYEbZLSqYabzWQ8XtV3RmsT200Vt&#10;Nr2Z+B3eZssh6eapEPitXG7CJHlyMWxeTRb354vr67vJ1DgWzlPovYNcDBBHOuqBeRLDJlmeNjud&#10;bhzprbkE7gh9XA/1YyPdu4bAPQGT2I48XUfguh6VTryMYvSsAvCnb+UcnJFJGau3a9B6eTFmP9c/&#10;v39nQByr53hcEXnR9YvjwYlFmYcJTLbtYHHs5+WWrPX08JVeXo7X+7/VXio8B6e99G/spXnRuut9&#10;HSLOZQ9/YVIr7MnYV5RC+HNu8M4JnVD2cVuB1fYz7KYczse76Td1RrS4cyQqRBvb689o3EUTYkZx&#10;/D7v3jShEhxa4yvw1N6ntF2fRzKlfR5DMFTcfuoxaQabXGWWhGNSpZK60S9c1jLv/qe0XaBHMqWt&#10;jdXn0ji3oeBSXA+IC6b1knBTCh2naPg+mL0zabs+j2RGW6XUn9G4o9hiRnFpZZqYg5xuRhXeilU+&#10;35S26/NIprQ9V+tPadzZWjGl2DQVQrQEk2ZVVeIC2WeC3XZ9HseMwhElo1PJMzXYs4XYuAzXNxlR&#10;1+pdYjJbY6UxHKUwnT9PxDYCNdquaMsR9WS75chmwFhgpdimlrY1aqOYPzY2B/EnmYX87FIxHe6Q&#10;0jS2Zp9TwLfxYs0X86kGEHMF2nrzZTYlxyzxLyfs8To0rQWIgG88QDcGsxQxkz4C3A3SMG/iYF9F&#10;hkjw57w2Ns/MLTtgJtuTPmYiuzIpwpXCVXxdhpKH7IlPcnjYanKWI7SLCvHp/aIqEfllKjR109ZB&#10;5ayRRmvd5qttTDYhf1HBBvdbW+88+Yv8WhWOWhumM1qAjksTqV6kWlyj8CNCeKFhyir1uRbN5WhQ&#10;JKRJUTHWxrWVprjwfOsIsc4y7eY05gozHn+E7aLbSdYO0lV2daAMIvX0tVY08Zytbxb8brjFzRPv&#10;D6En1SONaFA2JH/R5CuP3CluOeaz9jbVm6WeVG/2Y5v1llU4Hm9Fholm7gklIhuFiQIH8cxEh4Ox&#10;b/7RqyBMfLQ5nlkiG2X3Fymn905B0lT27HTA1GlaZsquzS4YbEEX2US8lRadf4F+lWO9cbDsHgvG&#10;g2Pdbnu41Mmuki2IT3fy/E60eDoI7cQ2f7cNkc+P5oiEPn+7DeFt9ybgb7yRzT6ybXk7bzhaf+fd&#10;0Swjq51Rb+sdir/+zhsKQP4QelK9nddvT642+cturd7GK+Qcf6pkgrfdRrbl7bbhGLwVGSZ6Cz2u&#10;TY99xCg8nhPPwz1TUk3Ocw+rc4b4He/kl/zuTwDod+EGsY14GLPV1biYRr/ZREvyeINaY6yXni0V&#10;thy8tcRa3vZ5Xbo5I9WaEZ/b8gZLws3Fww3uT4dd5mY1Xt7eTd6NN2P/t7E3XEzTxe1idjVdvfk/&#10;AAAA//8DAFBLAwQUAAYACAAAACEAtA7Zcd8AAAAGAQAADwAAAGRycy9kb3ducmV2LnhtbEyPQUvD&#10;QBCF7wX/wzKCl2I3lZBqzKaIRemhUGy9eNtk1yS4O5tmp2367x296OXB8B7vfVMsR+/EyQ6xC6hg&#10;PktAWKyD6bBR8L5/ub0HEUmj0S6gVXCxEZbl1aTQuQlnfLOnHTWCSzDmWkFL1OdSxrq1XsdZ6C2y&#10;9xkGr4nPoZFm0Gcu907eJUkmve6QF1rd2+fW1l+7o1dAbvWxWW+33eueqsvmcEjH1XSt1M31+PQI&#10;guxIf2H4wWd0KJmpCkc0UTgF/Aj9KnuL9CEDUXFovshSkGUh/+OX3wAAAP//AwBQSwECLQAUAAYA&#10;CAAAACEAtoM4kv4AAADhAQAAEwAAAAAAAAAAAAAAAAAAAAAAW0NvbnRlbnRfVHlwZXNdLnhtbFBL&#10;AQItABQABgAIAAAAIQA4/SH/1gAAAJQBAAALAAAAAAAAAAAAAAAAAC8BAABfcmVscy8ucmVsc1BL&#10;AQItABQABgAIAAAAIQB6Q6vmuBMAADGrAAAOAAAAAAAAAAAAAAAAAC4CAABkcnMvZTJvRG9jLnht&#10;bFBLAQItABQABgAIAAAAIQC0Dtlx3wAAAAYBAAAPAAAAAAAAAAAAAAAAABIWAABkcnMvZG93bnJl&#10;di54bWxQSwUGAAAAAAQABADzAAAAHhcAAAAA&#10;">
                <v:shape id="Shape 420" o:spid="_x0000_s1027" style="position:absolute;left:69189;top:1402;width:594;height:1813;visibility:visible;mso-wrap-style:square;v-text-anchor:top" coordsize="59436,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92zwQAAANwAAAAPAAAAZHJzL2Rvd25yZXYueG1sRE/LisIw&#10;FN0L/kO4wmxEU4sjUo2igiLOpj4WLi/NtS02N6XJaP17sxBcHs57vmxNJR7UuNKygtEwAkGcWV1y&#10;ruBy3g6mIJxH1lhZJgUvcrBcdDtzTLR98pEeJ5+LEMIuQQWF93UipcsKMuiGtiYO3M02Bn2ATS51&#10;g88QbioZR9FEGiw5NBRY06ag7H76Nwrcb6bX56pd/d0O2/TaT+N6tNkp9dNrVzMQnlr/FX/ce61g&#10;HIf54Uw4AnLxBgAA//8DAFBLAQItABQABgAIAAAAIQDb4fbL7gAAAIUBAAATAAAAAAAAAAAAAAAA&#10;AAAAAABbQ29udGVudF9UeXBlc10ueG1sUEsBAi0AFAAGAAgAAAAhAFr0LFu/AAAAFQEAAAsAAAAA&#10;AAAAAAAAAAAAHwEAAF9yZWxzLy5yZWxzUEsBAi0AFAAGAAgAAAAhAGln3bPBAAAA3AAAAA8AAAAA&#10;AAAAAAAAAAAABwIAAGRycy9kb3ducmV2LnhtbFBLBQYAAAAAAwADALcAAAD1AgAAAAA=&#10;" path="m16764,c42672,21336,59436,54864,59436,91440v,36576,-16764,68580,-42672,89916l,163068c21336,144780,33528,118872,33528,91440,33528,62485,21336,36576,,18288l16764,xe" fillcolor="#aad287" stroked="f" strokeweight="0">
                  <v:stroke miterlimit="83231f" joinstyle="miter"/>
                  <v:path arrowok="t" textboxrect="0,0,59436,181356"/>
                </v:shape>
                <v:shape id="Shape 421" o:spid="_x0000_s1028" style="position:absolute;left:67391;top:1402;width:594;height:1813;visibility:visible;mso-wrap-style:square;v-text-anchor:top" coordsize="59436,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3goxAAAANwAAAAPAAAAZHJzL2Rvd25yZXYueG1sRI9Pi8Iw&#10;FMTvC36H8AQvi6YtuyLVKCooi3vx38Hjo3m2xealNFHrtzeC4HGYmd8wk1lrKnGjxpWWFcSDCARx&#10;ZnXJuYLjYdUfgXAeWWNlmRQ8yMFs2vmaYKrtnXd02/tcBAi7FBUU3teplC4ryKAb2Jo4eGfbGPRB&#10;NrnUDd4D3FQyiaKhNFhyWCiwpmVB2WV/NQrcb6YXh6qd/583q+3pe5vU8XKtVK/bzscgPLX+E363&#10;/7SCnySG15lwBOT0CQAA//8DAFBLAQItABQABgAIAAAAIQDb4fbL7gAAAIUBAAATAAAAAAAAAAAA&#10;AAAAAAAAAABbQ29udGVudF9UeXBlc10ueG1sUEsBAi0AFAAGAAgAAAAhAFr0LFu/AAAAFQEAAAsA&#10;AAAAAAAAAAAAAAAAHwEAAF9yZWxzLy5yZWxzUEsBAi0AFAAGAAgAAAAhAAYreCjEAAAA3AAAAA8A&#10;AAAAAAAAAAAAAAAABwIAAGRycy9kb3ducmV2LnhtbFBLBQYAAAAAAwADALcAAAD4AgAAAAA=&#10;" path="m42672,l59436,18288c38100,36576,25908,62485,25908,91440v,27432,12192,53340,33528,71628l42672,181356c16764,160020,,128016,,91440,,53340,16764,21336,42672,xe" fillcolor="#aad287" stroked="f" strokeweight="0">
                  <v:stroke miterlimit="83231f" joinstyle="miter"/>
                  <v:path arrowok="t" textboxrect="0,0,59436,181356"/>
                </v:shape>
                <v:shape id="Shape 422" o:spid="_x0000_s1029" style="position:absolute;left:69738;top:746;width:899;height:3124;visibility:visible;mso-wrap-style:square;v-text-anchor:top" coordsize="89916,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K9SxQAAANwAAAAPAAAAZHJzL2Rvd25yZXYueG1sRI/RasJA&#10;FETfC/7DcoW+1Y2plZK6ioiCpRQx+gGX7G2Smr0bdtck/fuuIPg4zMwZZrEaTCM6cr62rGA6SUAQ&#10;F1bXXCo4n3Yv7yB8QNbYWCYFf+RhtRw9LTDTtucjdXkoRYSwz1BBFUKbSemLigz6iW2Jo/djncEQ&#10;pSuldthHuGlkmiRzabDmuFBhS5uKikt+NQq6Lzk/7w+v5abf8rf7fDvlx9mvUs/jYf0BItAQHuF7&#10;e68VzNIUbmfiEZDLfwAAAP//AwBQSwECLQAUAAYACAAAACEA2+H2y+4AAACFAQAAEwAAAAAAAAAA&#10;AAAAAAAAAAAAW0NvbnRlbnRfVHlwZXNdLnhtbFBLAQItABQABgAIAAAAIQBa9CxbvwAAABUBAAAL&#10;AAAAAAAAAAAAAAAAAB8BAABfcmVscy8ucmVsc1BLAQItABQABgAIAAAAIQDo0K9SxQAAANwAAAAP&#10;AAAAAAAAAAAAAAAAAAcCAABkcnMvZG93bnJldi54bWxQSwUGAAAAAAMAAwC3AAAA+QIAAAAA&#10;" path="m16764,c60960,36576,89916,92964,89916,156972v,62484,-28956,118872,-73152,155448l,292608c39624,260604,64008,211836,64008,156972,64008,100584,39624,51816,,19812l16764,xe" fillcolor="#aad287" stroked="f" strokeweight="0">
                  <v:stroke miterlimit="83231f" joinstyle="miter"/>
                  <v:path arrowok="t" textboxrect="0,0,89916,312420"/>
                </v:shape>
                <v:shape id="Shape 423" o:spid="_x0000_s1030" style="position:absolute;left:66537;top:746;width:900;height:3124;visibility:visible;mso-wrap-style:square;v-text-anchor:top" coordsize="89916,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rJxAAAANwAAAAPAAAAZHJzL2Rvd25yZXYueG1sRI/dasJA&#10;FITvC77DcgTv6sZfJHUVkQqWImL0AQ7Z0yRt9mzY3Sbp23cFwcthZr5h1tve1KIl5yvLCibjBARx&#10;bnXFhYLb9fC6AuEDssbaMin4Iw/bzeBljam2HV+ozUIhIoR9igrKEJpUSp+XZNCPbUMcvS/rDIYo&#10;XSG1wy7CTS2nSbKUBiuOCyU2tC8p/8l+jYL2Uy5vx/Os2HfvfHIfi2t2mX8rNRr2uzcQgfrwDD/a&#10;R61gPp3B/Uw8AnLzDwAA//8DAFBLAQItABQABgAIAAAAIQDb4fbL7gAAAIUBAAATAAAAAAAAAAAA&#10;AAAAAAAAAABbQ29udGVudF9UeXBlc10ueG1sUEsBAi0AFAAGAAgAAAAhAFr0LFu/AAAAFQEAAAsA&#10;AAAAAAAAAAAAAAAAHwEAAF9yZWxzLy5yZWxzUEsBAi0AFAAGAAgAAAAhAIecCsnEAAAA3AAAAA8A&#10;AAAAAAAAAAAAAAAABwIAAGRycy9kb3ducmV2LnhtbFBLBQYAAAAAAwADALcAAAD4AgAAAAA=&#10;" path="m73152,l89916,19812c50292,51816,25908,100584,25908,156972v,54864,24384,103632,64008,135636l73152,312420c27432,275844,,219456,,156972,,92964,27432,36576,73152,xe" fillcolor="#aad287" stroked="f" strokeweight="0">
                  <v:stroke miterlimit="83231f" joinstyle="miter"/>
                  <v:path arrowok="t" textboxrect="0,0,89916,312420"/>
                </v:shape>
                <v:shape id="Shape 424" o:spid="_x0000_s1031" style="position:absolute;left:70363;width:1234;height:4617;visibility:visible;mso-wrap-style:square;v-text-anchor:top" coordsize="123444,4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KHwgAAANwAAAAPAAAAZHJzL2Rvd25yZXYueG1sRI9Bi8Iw&#10;FITvwv6H8Bb2pqkiIl1TEWHBi0qr9Pxo3jZlm5fSxFr//UYQPA4z8w2z2Y62FQP1vnGsYD5LQBBX&#10;TjdcK7hefqZrED4ga2wdk4IHedhmH5MNptrdOaehCLWIEPYpKjAhdKmUvjJk0c9cRxy9X9dbDFH2&#10;tdQ93iPctnKRJCtpseG4YLCjvaHqr7hZBWPR7o+5uezMUbvDuZxTXt5OSn19jrtvEIHG8A6/2get&#10;YLlYwvNMPAIy+wcAAP//AwBQSwECLQAUAAYACAAAACEA2+H2y+4AAACFAQAAEwAAAAAAAAAAAAAA&#10;AAAAAAAAW0NvbnRlbnRfVHlwZXNdLnhtbFBLAQItABQABgAIAAAAIQBa9CxbvwAAABUBAAALAAAA&#10;AAAAAAAAAAAAAB8BAABfcmVscy8ucmVsc1BLAQItABQABgAIAAAAIQBlvMKHwgAAANwAAAAPAAAA&#10;AAAAAAAAAAAAAAcCAABkcnMvZG93bnJldi54bWxQSwUGAAAAAAMAAwC3AAAA9gIAAAAA&#10;" path="m16764,c82297,56388,123444,138684,123444,231648v,91440,-41147,173736,-106680,230124l,441960c59436,390144,97536,315468,97536,231648,97536,146304,59436,71628,,19812l16764,xe" fillcolor="#aad287" stroked="f" strokeweight="0">
                  <v:stroke miterlimit="83231f" joinstyle="miter"/>
                  <v:path arrowok="t" textboxrect="0,0,123444,461772"/>
                </v:shape>
                <v:shape id="Shape 425" o:spid="_x0000_s1032" style="position:absolute;left:65577;width:1235;height:4617;visibility:visible;mso-wrap-style:square;v-text-anchor:top" coordsize="123444,4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GccwQAAANwAAAAPAAAAZHJzL2Rvd25yZXYueG1sRI9Bi8Iw&#10;FITvgv8hPMGbpoq7SDWKCIIXlVbx/GieTbF5KU3U+u+NsLDHYWa+YZbrztbiSa2vHCuYjBMQxIXT&#10;FZcKLufdaA7CB2SNtWNS8CYP61W/t8RUuxdn9MxDKSKEfYoKTAhNKqUvDFn0Y9cQR+/mWoshyraU&#10;usVXhNtaTpPkV1qsOC4YbGhrqLjnD6ugy+vtITPnjTlotz9dJ5RdH0elhoNuswARqAv/4b/2XiuY&#10;TX/geyYeAbn6AAAA//8DAFBLAQItABQABgAIAAAAIQDb4fbL7gAAAIUBAAATAAAAAAAAAAAAAAAA&#10;AAAAAABbQ29udGVudF9UeXBlc10ueG1sUEsBAi0AFAAGAAgAAAAhAFr0LFu/AAAAFQEAAAsAAAAA&#10;AAAAAAAAAAAAHwEAAF9yZWxzLy5yZWxzUEsBAi0AFAAGAAgAAAAhAArwZxzBAAAA3AAAAA8AAAAA&#10;AAAAAAAAAAAABwIAAGRycy9kb3ducmV2LnhtbFBLBQYAAAAAAwADALcAAAD1AgAAAAA=&#10;" path="m106680,r16764,19812c64008,71628,24385,146304,24385,231648v,83820,39623,160020,99059,210312l106680,461772c41148,405384,,323088,,231648,,138684,41148,56388,106680,xe" fillcolor="#aad287" stroked="f" strokeweight="0">
                  <v:stroke miterlimit="83231f" joinstyle="miter"/>
                  <v:path arrowok="t" textboxrect="0,0,123444,461772"/>
                </v:shape>
                <v:shape id="Shape 426" o:spid="_x0000_s1033" style="position:absolute;left:69189;top:1402;width:594;height:1813;visibility:visible;mso-wrap-style:square;v-text-anchor:top" coordsize="59436,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n9xAAAANwAAAAPAAAAZHJzL2Rvd25yZXYueG1sRI9Ba8JA&#10;FITvgv9heUJvulGKtNFVRC2UQimmCh4f2WcSzb4Nu9sY/71bEDwOM/MNM192phYtOV9ZVjAeJSCI&#10;c6srLhTsfz+GbyB8QNZYWyYFN/KwXPR7c0y1vfKO2iwUIkLYp6igDKFJpfR5SQb9yDbE0TtZZzBE&#10;6QqpHV4j3NRykiRTabDiuFBiQ+uS8kv2ZxTY7+PPeNOdN46/9LHB961pD1ulXgbdagYiUBee4Uf7&#10;Uyt4nUzh/0w8AnJxBwAA//8DAFBLAQItABQABgAIAAAAIQDb4fbL7gAAAIUBAAATAAAAAAAAAAAA&#10;AAAAAAAAAABbQ29udGVudF9UeXBlc10ueG1sUEsBAi0AFAAGAAgAAAAhAFr0LFu/AAAAFQEAAAsA&#10;AAAAAAAAAAAAAAAAHwEAAF9yZWxzLy5yZWxzUEsBAi0AFAAGAAgAAAAhAE0Y2f3EAAAA3AAAAA8A&#10;AAAAAAAAAAAAAAAABwIAAGRycy9kb3ducmV2LnhtbFBLBQYAAAAAAwADALcAAAD4AgAAAAA=&#10;" path="m33528,91440v,27432,-12192,53340,-33528,71628l16764,181356c42672,160020,59436,128016,59436,91440,59436,54864,42672,21336,16764,l,18288c21336,36576,33528,62484,33528,91440xe" filled="f" strokecolor="white" strokeweight=".48pt">
                  <v:stroke endcap="round"/>
                  <v:path arrowok="t" textboxrect="0,0,59436,181356"/>
                </v:shape>
                <v:shape id="Shape 427" o:spid="_x0000_s1034" style="position:absolute;left:69738;top:746;width:899;height:3124;visibility:visible;mso-wrap-style:square;v-text-anchor:top" coordsize="89916,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OT2xAAAANwAAAAPAAAAZHJzL2Rvd25yZXYueG1sRI9Ba8JA&#10;FITvBf/D8gRvzcYgbUhdRcRAwF4aRXt8ZF+T0OzbkF1j/PfdQqHHYWa+YdbbyXRipMG1lhUsoxgE&#10;cWV1y7WC8yl/TkE4j6yxs0wKHuRgu5k9rTHT9s4fNJa+FgHCLkMFjfd9JqWrGjLoItsTB+/LDgZ9&#10;kEMt9YD3ADedTOL4RRpsOSw02NO+oeq7vBkFaZcX76Vpx31/Okq+Xmx+yD+VWsyn3RsIT5P/D/+1&#10;C61glbzC75lwBOTmBwAA//8DAFBLAQItABQABgAIAAAAIQDb4fbL7gAAAIUBAAATAAAAAAAAAAAA&#10;AAAAAAAAAABbQ29udGVudF9UeXBlc10ueG1sUEsBAi0AFAAGAAgAAAAhAFr0LFu/AAAAFQEAAAsA&#10;AAAAAAAAAAAAAAAAHwEAAF9yZWxzLy5yZWxzUEsBAi0AFAAGAAgAAAAhAF5k5PbEAAAA3AAAAA8A&#10;AAAAAAAAAAAAAAAABwIAAGRycy9kb3ducmV2LnhtbFBLBQYAAAAAAwADALcAAAD4AgAAAAA=&#10;" path="m64008,156972c64008,211836,39624,260604,,292608r16764,19812c60960,275844,89916,219456,89916,156972,89916,92964,60960,36576,16764,l,19812v39624,32004,64008,80772,64008,137160xe" filled="f" strokecolor="white" strokeweight=".48pt">
                  <v:stroke endcap="round"/>
                  <v:path arrowok="t" textboxrect="0,0,89916,312420"/>
                </v:shape>
                <v:shape id="Shape 428" o:spid="_x0000_s1035" style="position:absolute;left:70363;width:1234;height:4617;visibility:visible;mso-wrap-style:square;v-text-anchor:top" coordsize="123444,4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HwQAAANwAAAAPAAAAZHJzL2Rvd25yZXYueG1sRE9Ni8Iw&#10;EL0L+x/CLOxNU0VEq1Fkl4KgIOqy56EZ29Jm0k1irf/eHASPj/e92vSmER05X1lWMB4lIIhzqysu&#10;FPxesuEchA/IGhvLpOBBHjbrj8EKU23vfKLuHAoRQ9inqKAMoU2l9HlJBv3ItsSRu1pnMEToCqkd&#10;3mO4aeQkSWbSYMWxocSWvkvK6/PNKDju6n2T/T9u2d/U/xwPdefdolPq67PfLkEE6sNb/HLvtILp&#10;JK6NZ+IRkOsnAAAA//8DAFBLAQItABQABgAIAAAAIQDb4fbL7gAAAIUBAAATAAAAAAAAAAAAAAAA&#10;AAAAAABbQ29udGVudF9UeXBlc10ueG1sUEsBAi0AFAAGAAgAAAAhAFr0LFu/AAAAFQEAAAsAAAAA&#10;AAAAAAAAAAAAHwEAAF9yZWxzLy5yZWxzUEsBAi0AFAAGAAgAAAAhAOvf6sfBAAAA3AAAAA8AAAAA&#10;AAAAAAAAAAAABwIAAGRycy9kb3ducmV2LnhtbFBLBQYAAAAAAwADALcAAAD1AgAAAAA=&#10;" path="m16764,l,19812c59436,71628,97536,146304,97536,231648,97536,315468,59436,390144,,441960r16764,19812c82296,405384,123444,323088,123444,231648,123444,138684,82296,56388,16764,xe" filled="f" strokecolor="white" strokeweight=".48pt">
                  <v:stroke endcap="round"/>
                  <v:path arrowok="t" textboxrect="0,0,123444,461772"/>
                </v:shape>
                <v:shape id="Shape 429" o:spid="_x0000_s1036" style="position:absolute;left:67391;top:1402;width:594;height:1813;visibility:visible;mso-wrap-style:square;v-text-anchor:top" coordsize="59436,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02PxAAAANwAAAAPAAAAZHJzL2Rvd25yZXYueG1sRI9BawIx&#10;FITvQv9DeIXeNKuI1NUopSqIIFKr4PGxee6ubl6WJF3Xf2+EgsdhZr5hpvPWVKIh50vLCvq9BARx&#10;ZnXJuYLD76r7CcIHZI2VZVJwJw/z2Vtniqm2N/6hZh9yESHsU1RQhFCnUvqsIIO+Z2vi6J2tMxii&#10;dLnUDm8Rbio5SJKRNFhyXCiwpu+Csuv+zyiw29Ouv2gvC8cbfapxvDTNcanUx3v7NQERqA2v8H97&#10;rRUMB2N4nolHQM4eAAAA//8DAFBLAQItABQABgAIAAAAIQDb4fbL7gAAAIUBAAATAAAAAAAAAAAA&#10;AAAAAAAAAABbQ29udGVudF9UeXBlc10ueG1sUEsBAi0AFAAGAAgAAAAhAFr0LFu/AAAAFQEAAAsA&#10;AAAAAAAAAAAAAAAAHwEAAF9yZWxzLy5yZWxzUEsBAi0AFAAGAAgAAAAhADyHTY/EAAAA3AAAAA8A&#10;AAAAAAAAAAAAAAAABwIAAGRycy9kb3ducmV2LnhtbFBLBQYAAAAAAwADALcAAAD4AgAAAAA=&#10;" path="m25908,91440v,-28956,12192,-54864,33528,-73152l42672,c16763,21336,,53340,,91440v,36576,16763,68580,42672,89916l59436,163068c38100,144780,25908,118872,25908,91440xe" filled="f" strokecolor="white" strokeweight=".48pt">
                  <v:stroke endcap="round"/>
                  <v:path arrowok="t" textboxrect="0,0,59436,181356"/>
                </v:shape>
                <v:shape id="Shape 430" o:spid="_x0000_s1037" style="position:absolute;left:66537;top:746;width:900;height:3124;visibility:visible;mso-wrap-style:square;v-text-anchor:top" coordsize="89916,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OpfwQAAANwAAAAPAAAAZHJzL2Rvd25yZXYueG1sRE/LaoNA&#10;FN0X+g/DLWRXxz4owThKkQpCuqkJSZYX50Ylzh1xpsb8fWZR6PJw3mm+mEHMNLnesoKXKAZB3Fjd&#10;c6tgvyuf1yCcR9Y4WCYFN3KQZ48PKSbaXvmH5tq3IoSwS1BB5/2YSOmajgy6yI7EgTvbyaAPcGql&#10;nvAaws0gX+P4QxrsOTR0OFLRUXOpf42C9VBW37Xp52LcbSUfD7b8Kk9KrZ6Wzw0IT4v/F/+5K63g&#10;/S3MD2fCEZDZHQAA//8DAFBLAQItABQABgAIAAAAIQDb4fbL7gAAAIUBAAATAAAAAAAAAAAAAAAA&#10;AAAAAABbQ29udGVudF9UeXBlc10ueG1sUEsBAi0AFAAGAAgAAAAhAFr0LFu/AAAAFQEAAAsAAAAA&#10;AAAAAAAAAAAAHwEAAF9yZWxzLy5yZWxzUEsBAi0AFAAGAAgAAAAhAFRU6l/BAAAA3AAAAA8AAAAA&#10;AAAAAAAAAAAABwIAAGRycy9kb3ducmV2LnhtbFBLBQYAAAAAAwADALcAAAD1AgAAAAA=&#10;" path="m25908,156972v,-56388,24384,-105156,64008,-137160l73152,c27432,36576,,92964,,156972v,62484,27432,118872,73152,155448l89916,292608c50292,260604,25908,211836,25908,156972xe" filled="f" strokecolor="white" strokeweight=".48pt">
                  <v:stroke endcap="round"/>
                  <v:path arrowok="t" textboxrect="0,0,89916,312420"/>
                </v:shape>
                <v:shape id="Shape 431" o:spid="_x0000_s1038" style="position:absolute;left:65577;width:1235;height:4617;visibility:visible;mso-wrap-style:square;v-text-anchor:top" coordsize="123444,4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HxQAAANwAAAAPAAAAZHJzL2Rvd25yZXYueG1sRI/dasJA&#10;FITvC32H5RS8qxt/KJq6SlECgoJoi9eH7GkSkj2b7q4xvr0rCL0cZuYbZrHqTSM6cr6yrGA0TEAQ&#10;51ZXXCj4+c7eZyB8QNbYWCYFN/KwWr6+LDDV9spH6k6hEBHCPkUFZQhtKqXPSzLoh7Yljt6vdQZD&#10;lK6Q2uE1wk0jx0nyIQ1WHBdKbGldUl6fLkbBYVvvmuzvdsnOU7857OvOu3mn1OCt//oEEagP/+Fn&#10;e6sVTCcjeJyJR0Au7wAAAP//AwBQSwECLQAUAAYACAAAACEA2+H2y+4AAACFAQAAEwAAAAAAAAAA&#10;AAAAAAAAAAAAW0NvbnRlbnRfVHlwZXNdLnhtbFBLAQItABQABgAIAAAAIQBa9CxbvwAAABUBAAAL&#10;AAAAAAAAAAAAAAAAAB8BAABfcmVscy8ucmVsc1BLAQItABQABgAIAAAAIQD/PNWHxQAAANwAAAAP&#10;AAAAAAAAAAAAAAAAAAcCAABkcnMvZG93bnJldi54bWxQSwUGAAAAAAMAAwC3AAAA+QIAAAAA&#10;" path="m106680,461772r16764,-19812c64008,391668,24384,315468,24384,231648v,-85344,39624,-160020,99060,-211836l106680,c41148,56388,,138684,,231648v,91440,41148,173736,106680,230124xe" filled="f" strokecolor="white" strokeweight=".48pt">
                  <v:stroke endcap="round"/>
                  <v:path arrowok="t" textboxrect="0,0,123444,461772"/>
                </v:shape>
                <v:shape id="Shape 432" o:spid="_x0000_s1039" style="position:absolute;left:68092;top:1813;width:990;height:2042;visibility:visible;mso-wrap-style:square;v-text-anchor:top" coordsize="99061,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h+2xAAAANwAAAAPAAAAZHJzL2Rvd25yZXYueG1sRI9Ba8JA&#10;FITvgv9heUJvZlMjUtKsIoJQqIcmben1NfuahGbfxt2txn/fFQSPw8x8wxSb0fTiRM53lhU8JikI&#10;4trqjhsFH+/7+RMIH5A19pZJwYU8bNbTSYG5tmcu6VSFRkQI+xwVtCEMuZS+bsmgT+xAHL0f6wyG&#10;KF0jtcNzhJteLtJ0JQ12HBdaHGjXUv1b/RkFh+Nr1rhx+bY9Bv3ty8/M0Rcr9TAbt88gAo3hHr61&#10;X7SCZbaA65l4BOT6HwAA//8DAFBLAQItABQABgAIAAAAIQDb4fbL7gAAAIUBAAATAAAAAAAAAAAA&#10;AAAAAAAAAABbQ29udGVudF9UeXBlc10ueG1sUEsBAi0AFAAGAAgAAAAhAFr0LFu/AAAAFQEAAAsA&#10;AAAAAAAAAAAAAAAAHwEAAF9yZWxzLy5yZWxzUEsBAi0AFAAGAAgAAAAhAG/uH7bEAAAA3AAAAA8A&#10;AAAAAAAAAAAAAAAABwIAAGRycy9kb3ducmV2LnhtbFBLBQYAAAAAAwADALcAAAD4AgAAAAA=&#10;" path="m48768,c77725,,99061,21336,99061,50292v,22860,-15241,41148,-36576,47244l62485,204215r-27433,l35052,97536c15240,91440,,73152,,50292,,21336,21337,,48768,xe" fillcolor="#28669d" stroked="f" strokeweight="0">
                  <v:stroke miterlimit="83231f" joinstyle="miter"/>
                  <v:path arrowok="t" textboxrect="0,0,99061,204215"/>
                </v:shape>
                <v:shape id="Shape 433" o:spid="_x0000_s1040" style="position:absolute;left:67208;top:3855;width:2758;height:5289;visibility:visible;mso-wrap-style:square;v-text-anchor:top" coordsize="275844,52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DB9xQAAANwAAAAPAAAAZHJzL2Rvd25yZXYueG1sRI9Ba8JA&#10;FITvgv9heUJvumkjpY3ZiAjS0lLQqAdvj+xrEpJ9G7JbE/99t1DwOMzMN0y6Hk0rrtS72rKCx0UE&#10;griwuuZSwem4m7+AcB5ZY2uZFNzIwTqbTlJMtB34QNfclyJA2CWooPK+S6R0RUUG3cJ2xMH7tr1B&#10;H2RfSt3jEOCmlU9R9CwN1hwWKuxoW1HR5D9GweUtPo+vbD8a3n/68vg16F2zV+phNm5WIDyN/h7+&#10;b79rBcs4hr8z4QjI7BcAAP//AwBQSwECLQAUAAYACAAAACEA2+H2y+4AAACFAQAAEwAAAAAAAAAA&#10;AAAAAAAAAAAAW0NvbnRlbnRfVHlwZXNdLnhtbFBLAQItABQABgAIAAAAIQBa9CxbvwAAABUBAAAL&#10;AAAAAAAAAAAAAAAAAB8BAABfcmVscy8ucmVsc1BLAQItABQABgAIAAAAIQDP1DB9xQAAANwAAAAP&#10;AAAAAAAAAAAAAAAAAAcCAABkcnMvZG93bnJldi54bWxQSwUGAAAAAAMAAwC3AAAA+QIAAAAA&#10;" path="m88392,r97536,l275844,528828,,528828,88392,xe" fillcolor="#5b9bd4" stroked="f" strokeweight="0">
                  <v:stroke miterlimit="83231f" joinstyle="miter"/>
                  <v:path arrowok="t" textboxrect="0,0,275844,528828"/>
                </v:shape>
                <v:shape id="Shape 434" o:spid="_x0000_s1041" style="position:absolute;left:67208;top:3855;width:2758;height:5289;visibility:visible;mso-wrap-style:square;v-text-anchor:top" coordsize="275844,52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fxQAAANwAAAAPAAAAZHJzL2Rvd25yZXYueG1sRI9Ba8JA&#10;FITvgv9heYXedFMbRKKriNgSqBQaC/H4zD6TYPZtyG41/ntXKHgcZuYbZrHqTSMu1LnasoK3cQSC&#10;uLC65lLB7/5jNAPhPLLGxjIpuJGD1XI4WGCi7ZV/6JL5UgQIuwQVVN63iZSuqMigG9uWOHgn2xn0&#10;QXal1B1eA9w0chJFU2mw5rBQYUubiopz9mcUHPJPl38322mk8zRN97vjzMZfSr2+9Os5CE+9f4b/&#10;26lWEL/H8DgTjoBc3gEAAP//AwBQSwECLQAUAAYACAAAACEA2+H2y+4AAACFAQAAEwAAAAAAAAAA&#10;AAAAAAAAAAAAW0NvbnRlbnRfVHlwZXNdLnhtbFBLAQItABQABgAIAAAAIQBa9CxbvwAAABUBAAAL&#10;AAAAAAAAAAAAAAAAAB8BAABfcmVscy8ucmVsc1BLAQItABQABgAIAAAAIQC+kLKfxQAAANwAAAAP&#10;AAAAAAAAAAAAAAAAAAcCAABkcnMvZG93bnJldi54bWxQSwUGAAAAAAMAAwC3AAAA+QIAAAAA&#10;" path="m275844,528828l,528828,88392,r97535,l275844,528828xe" filled="f" strokecolor="white" strokeweight=".48pt">
                  <v:stroke endcap="round"/>
                  <v:path arrowok="t" textboxrect="0,0,275844,528828"/>
                </v:shape>
                <v:rect id="Rectangle 435" o:spid="_x0000_s1042" style="position:absolute;left:67497;top:9856;width:291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14:paraId="5EE174F7" w14:textId="77777777" w:rsidR="00FB6768" w:rsidRDefault="00FB6768" w:rsidP="00FB6768">
                        <w:pPr>
                          <w:spacing w:after="160"/>
                        </w:pPr>
                        <w:r>
                          <w:rPr>
                            <w:color w:val="1E4973"/>
                            <w:sz w:val="20"/>
                          </w:rPr>
                          <w:t>VPN</w:t>
                        </w:r>
                      </w:p>
                    </w:txbxContent>
                  </v:textbox>
                </v:rect>
                <v:shape id="Shape 436" o:spid="_x0000_s1043" style="position:absolute;left:64008;top:31165;width:9144;height:2286;visibility:visible;mso-wrap-style:square;v-text-anchor:top" coordsize="9144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DxQAAANwAAAAPAAAAZHJzL2Rvd25yZXYueG1sRI9Pa8JA&#10;FMTvQr/D8grezMY/hJK6SilYAl40euntNfuaBLNv092txm/vCoLHYWZ+wyzXg+nEmZxvLSuYJikI&#10;4srqlmsFx8Nm8gbCB2SNnWVScCUP69XLaIm5thfe07kMtYgQ9jkqaELocyl91ZBBn9ieOHq/1hkM&#10;UbpaaoeXCDednKVpJg22HBca7OmzoepU/hsFKRZf5XeR7bZ/ddjqxc/1NHWtUuPX4eMdRKAhPMOP&#10;dqEVLOYZ3M/EIyBXNwAAAP//AwBQSwECLQAUAAYACAAAACEA2+H2y+4AAACFAQAAEwAAAAAAAAAA&#10;AAAAAAAAAAAAW0NvbnRlbnRfVHlwZXNdLnhtbFBLAQItABQABgAIAAAAIQBa9CxbvwAAABUBAAAL&#10;AAAAAAAAAAAAAAAAAB8BAABfcmVscy8ucmVsc1BLAQItABQABgAIAAAAIQBAH+HDxQAAANwAAAAP&#10;AAAAAAAAAAAAAAAAAAcCAABkcnMvZG93bnJldi54bWxQSwUGAAAAAAMAAwC3AAAA+QIAAAAA&#10;" path="m74676,l836676,r77724,132588l914400,228600,,228600,,132588,74676,xe" fillcolor="#5b9bd4" stroked="f" strokeweight="0">
                  <v:stroke miterlimit="83231f" joinstyle="miter"/>
                  <v:path arrowok="t" textboxrect="0,0,914400,228600"/>
                </v:shape>
                <v:shape id="Shape 437" o:spid="_x0000_s1044" style="position:absolute;left:64754;top:25999;width:7651;height:4953;visibility:visible;mso-wrap-style:square;v-text-anchor:top" coordsize="765048,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9SWxgAAANwAAAAPAAAAZHJzL2Rvd25yZXYueG1sRI9BSwMx&#10;FITvQv9DeEIvYrOtusratBRB8FRs9aC35+Ztsrh5WZPY3f77piB4HGbmG2a5Hl0nDhRi61nBfFaA&#10;IK69btkoeH97vn4AEROyxs4zKThShPVqcrHESvuBd3TYJyMyhGOFCmxKfSVlrC05jDPfE2ev8cFh&#10;yjIYqQMOGe46uSiKUjpsOS9Y7OnJUv29/3UK7j43pvxpTPO1Q1vya7j6GNqtUtPLcfMIItGY/sN/&#10;7Ret4PbmHs5n8hGQqxMAAAD//wMAUEsBAi0AFAAGAAgAAAAhANvh9svuAAAAhQEAABMAAAAAAAAA&#10;AAAAAAAAAAAAAFtDb250ZW50X1R5cGVzXS54bWxQSwECLQAUAAYACAAAACEAWvQsW78AAAAVAQAA&#10;CwAAAAAAAAAAAAAAAAAfAQAAX3JlbHMvLnJlbHNQSwECLQAUAAYACAAAACEAcsvUlsYAAADcAAAA&#10;DwAAAAAAAAAAAAAAAAAHAgAAZHJzL2Rvd25yZXYueG1sUEsFBgAAAAADAAMAtwAAAPoCAAAAAA==&#10;" path="m76200,l688848,v41148,,76200,33528,76200,76200l765048,495300,,495300,,76200c,33528,33528,,76200,xe" fillcolor="#5b9bd4" stroked="f" strokeweight="0">
                  <v:stroke miterlimit="83231f" joinstyle="miter"/>
                  <v:path arrowok="t" textboxrect="0,0,765048,495300"/>
                </v:shape>
                <v:shape id="Shape 438" o:spid="_x0000_s1045" style="position:absolute;left:64008;top:31165;width:9144;height:2286;visibility:visible;mso-wrap-style:square;v-text-anchor:top" coordsize="9144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e9wwQAAANwAAAAPAAAAZHJzL2Rvd25yZXYueG1sRE/LasJA&#10;FN0X/IfhCt3VSRqrEh2DCEqhqxo/4JK5JsHMnZgZ8/h7Z1Ho8nDeu2w0jeipc7VlBfEiAkFcWF1z&#10;qeCanz42IJxH1thYJgUTOcj2s7cdptoO/Ev9xZcihLBLUUHlfZtK6YqKDLqFbYkDd7OdQR9gV0rd&#10;4RDCTSM/o2glDdYcGips6VhRcb88jYKfx3lVfi3XQ/885uaUxLXOr5NS7/PxsAXhafT/4j/3t1aw&#10;TMLacCYcAbl/AQAA//8DAFBLAQItABQABgAIAAAAIQDb4fbL7gAAAIUBAAATAAAAAAAAAAAAAAAA&#10;AAAAAABbQ29udGVudF9UeXBlc10ueG1sUEsBAi0AFAAGAAgAAAAhAFr0LFu/AAAAFQEAAAsAAAAA&#10;AAAAAAAAAAAAHwEAAF9yZWxzLy5yZWxzUEsBAi0AFAAGAAgAAAAhANzR73DBAAAA3AAAAA8AAAAA&#10;AAAAAAAAAAAABwIAAGRycy9kb3ducmV2LnhtbFBLBQYAAAAAAwADALcAAAD1AgAAAAA=&#10;" path="m,228600r914400,l914400,132588,836676,,74676,,,132588r,96012xe" filled="f" strokecolor="white" strokeweight=".48pt">
                  <v:stroke endcap="round"/>
                  <v:path arrowok="t" textboxrect="0,0,914400,228600"/>
                </v:shape>
                <v:shape id="Shape 439" o:spid="_x0000_s1046" style="position:absolute;left:64754;top:25999;width:7651;height:4953;visibility:visible;mso-wrap-style:square;v-text-anchor:top" coordsize="765048,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0APxQAAANwAAAAPAAAAZHJzL2Rvd25yZXYueG1sRI9BawIx&#10;FITvgv8hPKE3zdoW0a1RRCi0h1JdLfT42LxuFpOXZRPdbX99Iwgeh5n5hlmue2fFhdpQe1YwnWQg&#10;iEuva64UHA+v4zmIEJE1Ws+k4JcCrFfDwRJz7Tve06WIlUgQDjkqMDE2uZShNOQwTHxDnLwf3zqM&#10;SbaV1C12Ce6sfMyymXRYc1ow2NDWUHkqzk5BcTbG/n3LD1vp+a7/5K/37miVehj1mxcQkfp4D9/a&#10;b1rB89MCrmfSEZCrfwAAAP//AwBQSwECLQAUAAYACAAAACEA2+H2y+4AAACFAQAAEwAAAAAAAAAA&#10;AAAAAAAAAAAAW0NvbnRlbnRfVHlwZXNdLnhtbFBLAQItABQABgAIAAAAIQBa9CxbvwAAABUBAAAL&#10;AAAAAAAAAAAAAAAAAB8BAABfcmVscy8ucmVsc1BLAQItABQABgAIAAAAIQBaX0APxQAAANwAAAAP&#10;AAAAAAAAAAAAAAAAAAcCAABkcnMvZG93bnJldi54bWxQSwUGAAAAAAMAAwC3AAAA+QIAAAAA&#10;" path="m765048,495300r,-419100c765048,33528,729996,,688848,l76200,c33527,,,33528,,76200l,495300r765048,xe" filled="f" strokecolor="white" strokeweight=".48pt">
                  <v:stroke endcap="round"/>
                  <v:path arrowok="t" textboxrect="0,0,765048,495300"/>
                </v:shape>
                <v:shape id="Shape 440" o:spid="_x0000_s1047" style="position:absolute;left:64922;top:31729;width:7315;height:656;visibility:visible;mso-wrap-style:square;v-text-anchor:top" coordsize="731520,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qbmwgAAANwAAAAPAAAAZHJzL2Rvd25yZXYueG1sRE/Pa8Iw&#10;FL4P/B/CE7ytqeJEaqMMQZBd3NSx66N5tnXNS0myNttfvxwGO358v8tdNJ0YyPnWsoJ5loMgrqxu&#10;uVZwvRwe1yB8QNbYWSYF3+Rht508lFhoO/IbDedQixTCvkAFTQh9IaWvGjLoM9sTJ+5mncGQoKul&#10;djimcNPJRZ6vpMGWU0ODPe0bqj7PX0aBb5/GuH8ZT6+rIX+Px8XPvf64KzWbxucNiEAx/Iv/3Eet&#10;YLlM89OZdATk9hcAAP//AwBQSwECLQAUAAYACAAAACEA2+H2y+4AAACFAQAAEwAAAAAAAAAAAAAA&#10;AAAAAAAAW0NvbnRlbnRfVHlwZXNdLnhtbFBLAQItABQABgAIAAAAIQBa9CxbvwAAABUBAAALAAAA&#10;AAAAAAAAAAAAAB8BAABfcmVscy8ucmVsc1BLAQItABQABgAIAAAAIQDyOqbmwgAAANwAAAAPAAAA&#10;AAAAAAAAAAAAAAcCAABkcnMvZG93bnJldi54bWxQSwUGAAAAAAMAAwC3AAAA9gIAAAAA&#10;" path="m36576,l694944,r36576,65532l,65532,36576,xe" stroked="f" strokeweight="0">
                  <v:stroke miterlimit="83231f" joinstyle="miter"/>
                  <v:path arrowok="t" textboxrect="0,0,731520,65532"/>
                </v:shape>
                <v:shape id="Shape 3325" o:spid="_x0000_s1048" style="position:absolute;left:65486;top:26715;width:6202;height:3444;visibility:visible;mso-wrap-style:square;v-text-anchor:top" coordsize="620268,34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VZsxQAAAN0AAAAPAAAAZHJzL2Rvd25yZXYueG1sRI/RagIx&#10;FETfC/5DuELfNKui1dUoIiilBaGrH3DdXDerm5tlE3X9+6Yg9HGYmTPMYtXaStyp8aVjBYN+AoI4&#10;d7rkQsHxsO1NQfiArLFyTAqe5GG17LwtMNXuwT90z0IhIoR9igpMCHUqpc8NWfR9VxNH7+waiyHK&#10;ppC6wUeE20oOk2QiLZYcFwzWtDGUX7ObVTDbf9x2XyecXL7RDmbbXXtcZ0ap9267noMI1Ib/8Kv9&#10;qRWMRsMx/L2JT0AufwEAAP//AwBQSwECLQAUAAYACAAAACEA2+H2y+4AAACFAQAAEwAAAAAAAAAA&#10;AAAAAAAAAAAAW0NvbnRlbnRfVHlwZXNdLnhtbFBLAQItABQABgAIAAAAIQBa9CxbvwAAABUBAAAL&#10;AAAAAAAAAAAAAAAAAB8BAABfcmVscy8ucmVsc1BLAQItABQABgAIAAAAIQDjzVZsxQAAAN0AAAAP&#10;AAAAAAAAAAAAAAAAAAcCAABkcnMvZG93bnJldi54bWxQSwUGAAAAAAMAAwC3AAAA+QIAAAAA&#10;" path="m,l620268,r,344424l,344424,,e" fillcolor="#a4a4a4" stroked="f" strokeweight="0">
                  <v:stroke miterlimit="83231f" joinstyle="miter"/>
                  <v:path arrowok="t" textboxrect="0,0,620268,344424"/>
                </v:shape>
                <v:shape id="Shape 442" o:spid="_x0000_s1049" style="position:absolute;left:65486;top:26715;width:6202;height:3444;visibility:visible;mso-wrap-style:square;v-text-anchor:top" coordsize="620268,34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VRYwgAAANwAAAAPAAAAZHJzL2Rvd25yZXYueG1sRI9BawIx&#10;FITvQv9DeEIvollFi6xGKYKteFIrnh+b5+5i8rIkqa7/3giCx2FmvmHmy9YacSUfascKhoMMBHHh&#10;dM2lguPfuj8FESKyRuOYFNwpwHLx0Zljrt2N93Q9xFIkCIccFVQxNrmUoajIYhi4hjh5Z+ctxiR9&#10;KbXHW4JbI0dZ9iUt1pwWKmxoVVFxOfxbBbXZ8e8Gp5P2Yla97ORQ/vitUp/d9nsGIlIb3+FXe6MV&#10;jMcjeJ5JR0AuHgAAAP//AwBQSwECLQAUAAYACAAAACEA2+H2y+4AAACFAQAAEwAAAAAAAAAAAAAA&#10;AAAAAAAAW0NvbnRlbnRfVHlwZXNdLnhtbFBLAQItABQABgAIAAAAIQBa9CxbvwAAABUBAAALAAAA&#10;AAAAAAAAAAAAAB8BAABfcmVscy8ucmVsc1BLAQItABQABgAIAAAAIQCOOVRYwgAAANwAAAAPAAAA&#10;AAAAAAAAAAAAAAcCAABkcnMvZG93bnJldi54bWxQSwUGAAAAAAMAAwC3AAAA9gIAAAAA&#10;" path="m,344424r620268,l620268,,,,,344424xe" filled="f" strokecolor="white" strokeweight=".48pt">
                  <v:stroke endcap="round"/>
                  <v:path arrowok="t" textboxrect="0,0,620268,344424"/>
                </v:shape>
                <v:shape id="Shape 443" o:spid="_x0000_s1050" style="position:absolute;left:68580;top:11430;width:0;height:13837;visibility:visible;mso-wrap-style:square;v-text-anchor:top" coordsize="0,138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I6sxAAAANwAAAAPAAAAZHJzL2Rvd25yZXYueG1sRI/dasJA&#10;FITvC77DcgTv6kYNrUZXEcHQUij4d3/MHpNg9mzYXTW+fbdQ6OUwM98wi1VnGnEn52vLCkbDBARx&#10;YXXNpYLjYfs6BeEDssbGMil4kofVsveywEzbB+/ovg+liBD2GSqoQmgzKX1RkUE/tC1x9C7WGQxR&#10;ulJqh48IN40cJ8mbNFhzXKiwpU1FxXV/Mwrc7is9f57Wt/fT4TnDJM8x/x4rNeh36zmIQF34D/+1&#10;P7SCNJ3A75l4BOTyBwAA//8DAFBLAQItABQABgAIAAAAIQDb4fbL7gAAAIUBAAATAAAAAAAAAAAA&#10;AAAAAAAAAABbQ29udGVudF9UeXBlc10ueG1sUEsBAi0AFAAGAAgAAAAhAFr0LFu/AAAAFQEAAAsA&#10;AAAAAAAAAAAAAAAAHwEAAF9yZWxzLy5yZWxzUEsBAi0AFAAGAAgAAAAhADMsjqzEAAAA3AAAAA8A&#10;AAAAAAAAAAAAAAAABwIAAGRycy9kb3ducmV2LnhtbFBLBQYAAAAAAwADALcAAAD4AgAAAAA=&#10;" path="m,l,1383792e" filled="f" strokecolor="#5592c8" strokeweight=".72pt">
                  <v:stroke endcap="round"/>
                  <v:path arrowok="t" textboxrect="0,0,0,1383792"/>
                </v:shape>
                <v:shape id="Shape 444" o:spid="_x0000_s1051" style="position:absolute;left:68168;top:25176;width:838;height:823;visibility:visible;mso-wrap-style:square;v-text-anchor:top" coordsize="83820,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2j3xAAAANwAAAAPAAAAZHJzL2Rvd25yZXYueG1sRI9Ba8JA&#10;FITvBf/D8gRvdaOEtkRXUUEQRKHai7dH9plEs2/D7sbEf98VCj0OM/MNM1/2phYPcr6yrGAyTkAQ&#10;51ZXXCj4OW/fv0D4gKyxtkwKnuRhuRi8zTHTtuNvepxCISKEfYYKyhCaTEqfl2TQj21DHL2rdQZD&#10;lK6Q2mEX4aaW0yT5kAYrjgslNrQpKb+fWqPgfLzdm7X7bFvdXQ9uRfvN4bJXajTsVzMQgfrwH/5r&#10;77SCNE3hdSYeAbn4BQAA//8DAFBLAQItABQABgAIAAAAIQDb4fbL7gAAAIUBAAATAAAAAAAAAAAA&#10;AAAAAAAAAABbQ29udGVudF9UeXBlc10ueG1sUEsBAi0AFAAGAAgAAAAhAFr0LFu/AAAAFQEAAAsA&#10;AAAAAAAAAAAAAAAAHwEAAF9yZWxzLy5yZWxzUEsBAi0AFAAGAAgAAAAhALmnaPfEAAAA3AAAAA8A&#10;AAAAAAAAAAAAAAAABwIAAGRycy9kb3ducmV2LnhtbFBLBQYAAAAAAwADALcAAAD4AgAAAAA=&#10;" path="m,l83820,,41148,82296,,xe" fillcolor="#5592c8" stroked="f" strokeweight="0">
                  <v:stroke miterlimit="83231f" joinstyle="miter"/>
                  <v:path arrowok="t" textboxrect="0,0,83820,82296"/>
                </v:shape>
                <v:shape id="Shape 3326" o:spid="_x0000_s1052" style="position:absolute;left:65943;top:17800;width:5288;height:1829;visibility:visible;mso-wrap-style:square;v-text-anchor:top" coordsize="528828,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CQswwAAAN0AAAAPAAAAZHJzL2Rvd25yZXYueG1sRI/NqsIw&#10;FIT3gu8QjnB3mlpBajWKCoLgyh9cH5tz216bk9JE7fXpjSC4HGbmG2a2aE0l7tS40rKC4SACQZxZ&#10;XXKu4HTc9BMQziNrrCyTgn9ysJh3OzNMtX3wnu4Hn4sAYZeigsL7OpXSZQUZdANbEwfv1zYGfZBN&#10;LnWDjwA3lYyjaCwNlhwWCqxpXVB2PdyMgmeVxCv+WyXlJDPL3SW2tzNvlfrptcspCE+t/4Y/7a1W&#10;MBrFY3i/CU9Azl8AAAD//wMAUEsBAi0AFAAGAAgAAAAhANvh9svuAAAAhQEAABMAAAAAAAAAAAAA&#10;AAAAAAAAAFtDb250ZW50X1R5cGVzXS54bWxQSwECLQAUAAYACAAAACEAWvQsW78AAAAVAQAACwAA&#10;AAAAAAAAAAAAAAAfAQAAX3JlbHMvLnJlbHNQSwECLQAUAAYACAAAACEAN3QkLMMAAADdAAAADwAA&#10;AAAAAAAAAAAAAAAHAgAAZHJzL2Rvd25yZXYueG1sUEsFBgAAAAADAAMAtwAAAPcCAAAAAA==&#10;" path="m,l528828,r,182880l,182880,,e" stroked="f" strokeweight="0">
                  <v:stroke miterlimit="83231f" joinstyle="miter"/>
                  <v:path arrowok="t" textboxrect="0,0,528828,182880"/>
                </v:shape>
                <v:rect id="Rectangle 446" o:spid="_x0000_s1053" style="position:absolute;left:65943;top:18044;width:704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14:paraId="612ECA47" w14:textId="77777777" w:rsidR="00FB6768" w:rsidRDefault="00FB6768" w:rsidP="00FB6768">
                        <w:pPr>
                          <w:spacing w:after="160"/>
                        </w:pPr>
                        <w:r>
                          <w:rPr>
                            <w:color w:val="41719D"/>
                            <w:sz w:val="24"/>
                          </w:rPr>
                          <w:t>Wireless</w:t>
                        </w:r>
                      </w:p>
                    </w:txbxContent>
                  </v:textbox>
                </v:rect>
                <v:shape id="Shape 447" o:spid="_x0000_s1054" style="position:absolute;left:13716;top:8001;width:50307;height:21717;visibility:visible;mso-wrap-style:square;v-text-anchor:top" coordsize="5030724,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LBOxAAAANwAAAAPAAAAZHJzL2Rvd25yZXYueG1sRI9BawIx&#10;FITvQv9DeIXeNNsiKqtRRCj0UsGtix6fm+dmcfOyJFHXf28KhR6HmfmGWax624ob+dA4VvA+ykAQ&#10;V043XCvY/3wOZyBCRNbYOiYFDwqwWr4MFphrd+cd3YpYiwThkKMCE2OXSxkqQxbDyHXEyTs7bzEm&#10;6WupPd4T3LbyI8sm0mLDacFgRxtD1aW4WgXF43o+nnzN28KUB1uWero5fCv19tqv5yAi9fE//Nf+&#10;0grG4yn8nklHQC6fAAAA//8DAFBLAQItABQABgAIAAAAIQDb4fbL7gAAAIUBAAATAAAAAAAAAAAA&#10;AAAAAAAAAABbQ29udGVudF9UeXBlc10ueG1sUEsBAi0AFAAGAAgAAAAhAFr0LFu/AAAAFQEAAAsA&#10;AAAAAAAAAAAAAAAAHwEAAF9yZWxzLy5yZWxzUEsBAi0AFAAGAAgAAAAhAFXMsE7EAAAA3AAAAA8A&#10;AAAAAAAAAAAAAAAABwIAAGRycy9kb3ducmV2LnhtbFBLBQYAAAAAAwADALcAAAD4AgAAAAA=&#10;" path="m,l,2171700r5030724,e" filled="f" strokecolor="#5592c8" strokeweight=".72pt">
                  <v:stroke endcap="round"/>
                  <v:path arrowok="t" textboxrect="0,0,5030724,2171700"/>
                </v:shape>
                <v:shape id="Shape 448" o:spid="_x0000_s1055" style="position:absolute;left:63916;top:29306;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0owAAAANwAAAAPAAAAZHJzL2Rvd25yZXYueG1sRE9Ni8Iw&#10;EL0L/ocwgjdNLSLSNS2LIAiCoLuw3dvQzDZlm0ltotZ/bw6Cx8f73hSDbcWNet84VrCYJyCIK6cb&#10;rhV8f+1maxA+IGtsHZOCB3ko8vFog5l2dz7R7RxqEUPYZ6jAhNBlUvrKkEU/dx1x5P5cbzFE2NdS&#10;93iP4baVaZKspMWGY4PBjraGqv/z1SroLr8/zdGSPqWHR8rltTTJrlRqOhk+P0AEGsJb/HLvtYLl&#10;Mq6NZ+IRkPkTAAD//wMAUEsBAi0AFAAGAAgAAAAhANvh9svuAAAAhQEAABMAAAAAAAAAAAAAAAAA&#10;AAAAAFtDb250ZW50X1R5cGVzXS54bWxQSwECLQAUAAYACAAAACEAWvQsW78AAAAVAQAACwAAAAAA&#10;AAAAAAAAAAAfAQAAX3JlbHMvLnJlbHNQSwECLQAUAAYACAAAACEA8stdKMAAAADcAAAADwAAAAAA&#10;AAAAAAAAAAAHAgAAZHJzL2Rvd25yZXYueG1sUEsFBgAAAAADAAMAtwAAAPQCAAAAAA==&#10;" path="m,l83820,41148,,83820,,xe" fillcolor="#5592c8" stroked="f" strokeweight="0">
                  <v:stroke miterlimit="83231f" joinstyle="miter"/>
                  <v:path arrowok="t" textboxrect="0,0,83820,83820"/>
                </v:shape>
                <v:shape id="Shape 3327" o:spid="_x0000_s1056" style="position:absolute;left:22387;top:28803;width:11979;height:1829;visibility:visible;mso-wrap-style:square;v-text-anchor:top" coordsize="119786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DtxgAAAN0AAAAPAAAAZHJzL2Rvd25yZXYueG1sRI9ba8JA&#10;FITfhf6H5Qi+6UYDvURXKWLRvhS81OdD9pgNZs+m2dWk/fWuIPRxmJlvmNmis5W4UuNLxwrGowQE&#10;ce50yYWCw/5j+ArCB2SNlWNS8EseFvOn3gwz7Vre0nUXChEh7DNUYEKoMyl9bsiiH7maOHon11gM&#10;UTaF1A22EW4rOUmSZ2mx5LhgsKalofy8u1gFK/3zR/yZtmb7dTys31bL731XKjXod+9TEIG68B9+&#10;tDdaQZpOXuD+Jj4BOb8BAAD//wMAUEsBAi0AFAAGAAgAAAAhANvh9svuAAAAhQEAABMAAAAAAAAA&#10;AAAAAAAAAAAAAFtDb250ZW50X1R5cGVzXS54bWxQSwECLQAUAAYACAAAACEAWvQsW78AAAAVAQAA&#10;CwAAAAAAAAAAAAAAAAAfAQAAX3JlbHMvLnJlbHNQSwECLQAUAAYACAAAACEAm01A7cYAAADdAAAA&#10;DwAAAAAAAAAAAAAAAAAHAgAAZHJzL2Rvd25yZXYueG1sUEsFBgAAAAADAAMAtwAAAPoCAAAAAA==&#10;" path="m,l1197864,r,182880l,182880,,e" stroked="f" strokeweight="0">
                  <v:stroke miterlimit="83231f" joinstyle="miter"/>
                  <v:path arrowok="t" textboxrect="0,0,1197864,182880"/>
                </v:shape>
                <v:rect id="Rectangle 450" o:spid="_x0000_s1057" style="position:absolute;left:22387;top:29047;width:1594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00D77BF9" w14:textId="77777777" w:rsidR="00FB6768" w:rsidRDefault="00FB6768" w:rsidP="00FB6768">
                        <w:pPr>
                          <w:spacing w:after="160"/>
                        </w:pPr>
                        <w:r>
                          <w:rPr>
                            <w:color w:val="41719D"/>
                            <w:sz w:val="24"/>
                          </w:rPr>
                          <w:t>Via Docking Station</w:t>
                        </w:r>
                      </w:p>
                    </w:txbxContent>
                  </v:textbox>
                </v:rect>
                <v:shape id="Shape 451" o:spid="_x0000_s1058" style="position:absolute;left:13716;top:12573;width:25146;height:2286;visibility:visible;mso-wrap-style:square;v-text-anchor:top" coordsize="2514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OnwwAAANwAAAAPAAAAZHJzL2Rvd25yZXYueG1sRI9Ba8JA&#10;FITvhf6H5RV6azbaNEh0FS22eK1KvD6yz2Tb7NuQ3Wry791CweMwM98wi9VgW3Gh3hvHCiZJCoK4&#10;ctpwreB4+HiZgfABWWPrmBSM5GG1fHxYYKHdlb/osg+1iBD2BSpoQugKKX3VkEWfuI44emfXWwxR&#10;9rXUPV4j3LZymqa5tGg4LjTY0XtD1c/+1yp4pe243Zy+9TAt89J8ZsFJo5V6fhrWcxCBhnAP/7d3&#10;WkH2NoG/M/EIyOUNAAD//wMAUEsBAi0AFAAGAAgAAAAhANvh9svuAAAAhQEAABMAAAAAAAAAAAAA&#10;AAAAAAAAAFtDb250ZW50X1R5cGVzXS54bWxQSwECLQAUAAYACAAAACEAWvQsW78AAAAVAQAACwAA&#10;AAAAAAAAAAAAAAAfAQAAX3JlbHMvLnJlbHNQSwECLQAUAAYACAAAACEAMZDzp8MAAADcAAAADwAA&#10;AAAAAAAAAAAAAAAHAgAAZHJzL2Rvd25yZXYueG1sUEsFBgAAAAADAAMAtwAAAPcCAAAAAA==&#10;" path="m2514600,228600l,e" filled="f" strokecolor="#5592c8" strokeweight=".48pt">
                  <v:stroke endcap="round"/>
                  <v:path arrowok="t" textboxrect="0,0,2514600,228600"/>
                </v:shape>
                <v:shape id="Shape 3328" o:spid="_x0000_s1059" style="position:absolute;left:34290;top:11430;width:9144;height:6858;visibility:visible;mso-wrap-style:square;v-text-anchor:top" coordsize="9144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8jwAAAAN0AAAAPAAAAZHJzL2Rvd25yZXYueG1sRE9Ni8Iw&#10;EL0v+B/CCN7WVAuydI1iBcGLB91lz2MzJsVmUptY6783B2GPj/e9XA+uET11ofasYDbNQBBXXtds&#10;FPz+7D6/QISIrLHxTAqeFGC9Gn0ssdD+wUfqT9GIFMKhQAU2xraQMlSWHIapb4kTd/Gdw5hgZ6Tu&#10;8JHCXSPnWbaQDmtODRZb2lqqrqe7U3C25lhyafpo7tv8fNP136F8KjUZD5tvEJGG+C9+u/daQZ7P&#10;09z0Jj0BuXoBAAD//wMAUEsBAi0AFAAGAAgAAAAhANvh9svuAAAAhQEAABMAAAAAAAAAAAAAAAAA&#10;AAAAAFtDb250ZW50X1R5cGVzXS54bWxQSwECLQAUAAYACAAAACEAWvQsW78AAAAVAQAACwAAAAAA&#10;AAAAAAAAAAAfAQAAX3JlbHMvLnJlbHNQSwECLQAUAAYACAAAACEAK58/I8AAAADdAAAADwAAAAAA&#10;AAAAAAAAAAAHAgAAZHJzL2Rvd25yZXYueG1sUEsFBgAAAAADAAMAtwAAAPQCAAAAAA==&#10;" path="m,l914400,r,685800l,685800,,e" fillcolor="#e8efd1" stroked="f" strokeweight="0">
                  <v:stroke miterlimit="83231f" joinstyle="miter"/>
                  <v:path arrowok="t" textboxrect="0,0,914400,685800"/>
                </v:shape>
                <v:shape id="Shape 453" o:spid="_x0000_s1060" style="position:absolute;left:34290;top:11430;width:9144;height:6858;visibility:visible;mso-wrap-style:square;v-text-anchor:top" coordsize="9144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2NxAAAANwAAAAPAAAAZHJzL2Rvd25yZXYueG1sRI9PSwMx&#10;FMTvQr9DeII3m7VqKdumJRUU8SL9c+ntsXnuBjcvS/Js129vBMHjMDO/YVabMfTqTCn7yAbuphUo&#10;4iY6z62B4+H5dgEqC7LDPjIZ+KYMm/XkaoW1ixfe0XkvrSoQzjUa6ESGWuvcdBQwT+NAXLyPmAJK&#10;kanVLuGlwEOvZ1U11wE9l4UOB3rqqPncfwUDL9ZvvXvPi1FStrOTbXdvYo25uR7tEpTQKP/hv/ar&#10;M/DweA+/Z8oR0OsfAAAA//8DAFBLAQItABQABgAIAAAAIQDb4fbL7gAAAIUBAAATAAAAAAAAAAAA&#10;AAAAAAAAAABbQ29udGVudF9UeXBlc10ueG1sUEsBAi0AFAAGAAgAAAAhAFr0LFu/AAAAFQEAAAsA&#10;AAAAAAAAAAAAAAAAHwEAAF9yZWxzLy5yZWxzUEsBAi0AFAAGAAgAAAAhAIY9XY3EAAAA3AAAAA8A&#10;AAAAAAAAAAAAAAAABwIAAGRycy9kb3ducmV2LnhtbFBLBQYAAAAAAwADALcAAAD4AgAAAAA=&#10;" path="m,685800r914400,l914400,,,,,685800xe" filled="f" strokecolor="white" strokeweight=".48pt">
                  <v:stroke endcap="round"/>
                  <v:path arrowok="t" textboxrect="0,0,914400,685800"/>
                </v:shape>
                <v:rect id="Rectangle 454" o:spid="_x0000_s1061" style="position:absolute;left:34808;top:11365;width:9788;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6B849B3D" w14:textId="77777777" w:rsidR="00FB6768" w:rsidRDefault="00FB6768" w:rsidP="00FB6768">
                        <w:pPr>
                          <w:spacing w:after="160"/>
                        </w:pPr>
                        <w:r>
                          <w:rPr>
                            <w:color w:val="5B9BD4"/>
                            <w:sz w:val="16"/>
                          </w:rPr>
                          <w:t xml:space="preserve">User can connect </w:t>
                        </w:r>
                      </w:p>
                    </w:txbxContent>
                  </v:textbox>
                </v:rect>
                <v:rect id="Rectangle 455" o:spid="_x0000_s1062" style="position:absolute;left:34808;top:12584;width:1074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2F5B875E" w14:textId="77777777" w:rsidR="00FB6768" w:rsidRDefault="00FB6768" w:rsidP="00FB6768">
                        <w:pPr>
                          <w:spacing w:after="160"/>
                        </w:pPr>
                        <w:r>
                          <w:rPr>
                            <w:color w:val="5B9BD4"/>
                            <w:sz w:val="16"/>
                          </w:rPr>
                          <w:t xml:space="preserve">via intranet or VPN </w:t>
                        </w:r>
                      </w:p>
                    </w:txbxContent>
                  </v:textbox>
                </v:rect>
                <v:rect id="Rectangle 456" o:spid="_x0000_s1063" style="position:absolute;left:34808;top:13803;width:1108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inset="0,0,0,0">
                    <w:txbxContent>
                      <w:p w14:paraId="6C0C43F4" w14:textId="77777777" w:rsidR="00FB6768" w:rsidRDefault="00FB6768" w:rsidP="00FB6768">
                        <w:pPr>
                          <w:spacing w:after="160"/>
                        </w:pPr>
                        <w:r>
                          <w:rPr>
                            <w:color w:val="5B9BD4"/>
                            <w:sz w:val="16"/>
                          </w:rPr>
                          <w:t xml:space="preserve">to synchronize data </w:t>
                        </w:r>
                      </w:p>
                    </w:txbxContent>
                  </v:textbox>
                </v:rect>
                <v:rect id="Rectangle 457" o:spid="_x0000_s1064" style="position:absolute;left:34808;top:15022;width:900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35309777" w14:textId="77777777" w:rsidR="00FB6768" w:rsidRDefault="00FB6768" w:rsidP="00FB6768">
                        <w:pPr>
                          <w:spacing w:after="160"/>
                        </w:pPr>
                        <w:r>
                          <w:rPr>
                            <w:color w:val="5B9BD4"/>
                            <w:sz w:val="16"/>
                          </w:rPr>
                          <w:t xml:space="preserve">between laptop </w:t>
                        </w:r>
                      </w:p>
                    </w:txbxContent>
                  </v:textbox>
                </v:rect>
                <v:rect id="Rectangle 458" o:spid="_x0000_s1065" style="position:absolute;left:34808;top:16242;width:1058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14:paraId="4C04E66A" w14:textId="77777777" w:rsidR="00FB6768" w:rsidRDefault="00FB6768" w:rsidP="00FB6768">
                        <w:pPr>
                          <w:spacing w:after="160"/>
                        </w:pPr>
                        <w:r>
                          <w:rPr>
                            <w:color w:val="5B9BD4"/>
                            <w:sz w:val="16"/>
                          </w:rPr>
                          <w:t xml:space="preserve">and base tables on </w:t>
                        </w:r>
                      </w:p>
                    </w:txbxContent>
                  </v:textbox>
                </v:rect>
                <v:rect id="Rectangle 459" o:spid="_x0000_s1066" style="position:absolute;left:34808;top:17461;width:377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1E94FB77" w14:textId="77777777" w:rsidR="00FB6768" w:rsidRDefault="00FB6768" w:rsidP="00FB6768">
                        <w:pPr>
                          <w:spacing w:after="160"/>
                        </w:pPr>
                        <w:r>
                          <w:rPr>
                            <w:color w:val="5B9BD4"/>
                            <w:sz w:val="16"/>
                          </w:rPr>
                          <w:t>server.</w:t>
                        </w:r>
                      </w:p>
                    </w:txbxContent>
                  </v:textbox>
                </v:rect>
                <v:shape id="Shape 460" o:spid="_x0000_s1067" style="position:absolute;left:43434;top:9144;width:25146;height:6294;visibility:visible;mso-wrap-style:square;v-text-anchor:top" coordsize="2514600,6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R+wQAAANwAAAAPAAAAZHJzL2Rvd25yZXYueG1sRE/Pa8Iw&#10;FL4L/g/hCd40nYiMahSZOoR5qW7o8dE822LzUpKsrf/9chB2/Ph+rza9qUVLzleWFbxNExDEudUV&#10;Fwq+L4fJOwgfkDXWlknBkzxs1sPBClNtO86oPYdCxBD2KSooQ2hSKX1ekkE/tQ1x5O7WGQwRukJq&#10;h10MN7WcJclCGqw4NpTY0EdJ+eP8axQcMzL+5/Z01We2a69fp2J/vXVKjUf9dgkiUB/+xS/3USuY&#10;L+L8eCYeAbn+AwAA//8DAFBLAQItABQABgAIAAAAIQDb4fbL7gAAAIUBAAATAAAAAAAAAAAAAAAA&#10;AAAAAABbQ29udGVudF9UeXBlc10ueG1sUEsBAi0AFAAGAAgAAAAhAFr0LFu/AAAAFQEAAAsAAAAA&#10;AAAAAAAAAAAAHwEAAF9yZWxzLy5yZWxzUEsBAi0AFAAGAAgAAAAhAKUdlH7BAAAA3AAAAA8AAAAA&#10;AAAAAAAAAAAABwIAAGRycy9kb3ducmV2LnhtbFBLBQYAAAAAAwADALcAAAD1AgAAAAA=&#10;" path="m,629412r2514600,l2514600,e" filled="f" strokecolor="#5592c8" strokeweight=".72pt">
                  <v:stroke endcap="round"/>
                  <v:path arrowok="t" textboxrect="0,0,2514600,629412"/>
                </v:shape>
                <v:shape id="Shape 461" o:spid="_x0000_s1068" style="position:absolute;top:4922;width:27432;height:3764;visibility:visible;mso-wrap-style:square;v-text-anchor:top" coordsize="2743200,37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j74wgAAANwAAAAPAAAAZHJzL2Rvd25yZXYueG1sRI9Pi8Iw&#10;FMTvC36H8Ba8ralFRLtGERdBT/5lz4/mbVvavJQka+u3N4LgcZiZ3zCLVW8acSPnK8sKxqMEBHFu&#10;dcWFgutl+zUD4QOyxsYyKbiTh9Vy8LHATNuOT3Q7h0JECPsMFZQhtJmUPi/JoB/Zljh6f9YZDFG6&#10;QmqHXYSbRqZJMpUGK44LJba0KSmvz/9Ggau74tcecU7r/f56SNNLmNU/Sg0/+/U3iEB9eIdf7Z1W&#10;MJmO4XkmHgG5fAAAAP//AwBQSwECLQAUAAYACAAAACEA2+H2y+4AAACFAQAAEwAAAAAAAAAAAAAA&#10;AAAAAAAAW0NvbnRlbnRfVHlwZXNdLnhtbFBLAQItABQABgAIAAAAIQBa9CxbvwAAABUBAAALAAAA&#10;AAAAAAAAAAAAAB8BAABfcmVscy8ucmVsc1BLAQItABQABgAIAAAAIQD0Wj74wgAAANwAAAAPAAAA&#10;AAAAAAAAAAAAAAcCAABkcnMvZG93bnJldi54bWxQSwUGAAAAAAMAAwC3AAAA9gIAAAAA&#10;" path="m342900,17145v116586,,233172,17145,342900,51435c905256,137160,1152144,137160,1371600,68580,1591056,,1837944,,2057400,68580v219456,68580,466344,68580,685800,l2743200,307848v-219456,68580,-466344,68580,-685800,c1837944,239268,1591056,239268,1371600,307848v-219456,68580,-466344,68580,-685800,c466344,239268,219456,239268,,307848l,68580c109728,34290,226314,17145,342900,17145xe" fillcolor="#5b9bd4" stroked="f" strokeweight="0">
                  <v:stroke miterlimit="83231f" joinstyle="miter"/>
                  <v:path arrowok="t" textboxrect="0,0,2743200,376428"/>
                </v:shape>
                <v:shape id="Shape 462" o:spid="_x0000_s1069" style="position:absolute;top:4922;width:27432;height:3764;visibility:visible;mso-wrap-style:square;v-text-anchor:top" coordsize="2743200,37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wMyxAAAANwAAAAPAAAAZHJzL2Rvd25yZXYueG1sRI9BS8NA&#10;FITvQv/D8gre7KYlFondllIteBCxseD1kX3uBrNvQ/bZxH/vCoLHYWa+YTa7KXTqQkNqIxtYLgpQ&#10;xE20LTsD57fjzR2oJMgWu8hk4JsS7Lazqw1WNo58okstTmUIpwoNeJG+0jo1ngKmReyJs/cRh4CS&#10;5eC0HXDM8NDpVVGsdcCW84LHng6ems/6Kxh49sfHWIfzixsllOJu9+/lw6sx1/Npfw9KaJL/8F/7&#10;yRoo1yv4PZOPgN7+AAAA//8DAFBLAQItABQABgAIAAAAIQDb4fbL7gAAAIUBAAATAAAAAAAAAAAA&#10;AAAAAAAAAABbQ29udGVudF9UeXBlc10ueG1sUEsBAi0AFAAGAAgAAAAhAFr0LFu/AAAAFQEAAAsA&#10;AAAAAAAAAAAAAAAAHwEAAF9yZWxzLy5yZWxzUEsBAi0AFAAGAAgAAAAhAEY7AzLEAAAA3AAAAA8A&#10;AAAAAAAAAAAAAAAABwIAAGRycy9kb3ducmV2LnhtbFBLBQYAAAAAAwADALcAAAD4AgAAAAA=&#10;" path="m,307848v219456,-68580,466344,-68580,685800,c905256,376428,1152144,376428,1371600,307848v219456,-68580,466344,-68580,685800,c2276856,376428,2523744,376428,2743200,307848r,-239268c2523744,137160,2276856,137160,2057400,68580,1837944,,1591056,,1371600,68580v-219456,68580,-466344,68580,-685800,c466344,,219456,,,68580l,307848xe" filled="f" strokecolor="white" strokeweight=".48pt">
                  <v:stroke endcap="round"/>
                  <v:path arrowok="t" textboxrect="0,0,2743200,376428"/>
                </v:shape>
                <v:rect id="Rectangle 463" o:spid="_x0000_s1070" style="position:absolute;left:8671;top:6243;width:1343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14:paraId="458BCBD6" w14:textId="77777777" w:rsidR="00FB6768" w:rsidRDefault="00FB6768" w:rsidP="00FB6768">
                        <w:pPr>
                          <w:spacing w:after="160"/>
                        </w:pPr>
                        <w:r>
                          <w:rPr>
                            <w:color w:val="FFFFFF"/>
                            <w:sz w:val="20"/>
                          </w:rPr>
                          <w:t>Local Area Network</w:t>
                        </w:r>
                      </w:p>
                    </w:txbxContent>
                  </v:textbox>
                </v:rect>
                <w10:anchorlock/>
              </v:group>
            </w:pict>
          </mc:Fallback>
        </mc:AlternateContent>
      </w:r>
    </w:p>
    <w:p w14:paraId="6E772E45" w14:textId="5F6792CB" w:rsidR="0007573B" w:rsidRDefault="0007573B">
      <w:pPr>
        <w:spacing w:after="160" w:line="259" w:lineRule="auto"/>
      </w:pPr>
      <w:r>
        <w:br w:type="page"/>
      </w:r>
    </w:p>
    <w:p w14:paraId="23775E7F" w14:textId="5A056123" w:rsidR="00FB6768" w:rsidRDefault="0007573B" w:rsidP="0007573B">
      <w:pPr>
        <w:jc w:val="center"/>
      </w:pPr>
      <w:r>
        <w:rPr>
          <w:noProof/>
        </w:rPr>
        <w:lastRenderedPageBreak/>
        <w:drawing>
          <wp:inline distT="0" distB="0" distL="0" distR="0" wp14:anchorId="1B6C734E" wp14:editId="051AFA21">
            <wp:extent cx="7001038" cy="5257637"/>
            <wp:effectExtent l="0" t="4445" r="5080" b="5080"/>
            <wp:docPr id="3282" name="Picture 3282"/>
            <wp:cNvGraphicFramePr/>
            <a:graphic xmlns:a="http://schemas.openxmlformats.org/drawingml/2006/main">
              <a:graphicData uri="http://schemas.openxmlformats.org/drawingml/2006/picture">
                <pic:pic xmlns:pic="http://schemas.openxmlformats.org/drawingml/2006/picture">
                  <pic:nvPicPr>
                    <pic:cNvPr id="3282" name="Picture 3282"/>
                    <pic:cNvPicPr/>
                  </pic:nvPicPr>
                  <pic:blipFill>
                    <a:blip r:embed="rId12"/>
                    <a:stretch>
                      <a:fillRect/>
                    </a:stretch>
                  </pic:blipFill>
                  <pic:spPr>
                    <a:xfrm rot="16200000">
                      <a:off x="0" y="0"/>
                      <a:ext cx="7011260" cy="5265314"/>
                    </a:xfrm>
                    <a:prstGeom prst="rect">
                      <a:avLst/>
                    </a:prstGeom>
                  </pic:spPr>
                </pic:pic>
              </a:graphicData>
            </a:graphic>
          </wp:inline>
        </w:drawing>
      </w:r>
    </w:p>
    <w:sectPr w:rsidR="00FB6768" w:rsidSect="007B7123">
      <w:headerReference w:type="default" r:id="rId13"/>
      <w:footerReference w:type="default" r:id="rId14"/>
      <w:pgSz w:w="12240" w:h="15840"/>
      <w:pgMar w:top="1440" w:right="180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E1F724" w14:textId="77777777" w:rsidR="00871FCD" w:rsidRDefault="00871FCD" w:rsidP="006520A5">
      <w:r>
        <w:separator/>
      </w:r>
    </w:p>
  </w:endnote>
  <w:endnote w:type="continuationSeparator" w:id="0">
    <w:p w14:paraId="6C1E05CD" w14:textId="77777777" w:rsidR="00871FCD" w:rsidRDefault="00871FCD" w:rsidP="00652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Open Sans">
    <w:altName w:val="Segoe UI"/>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54327" w14:textId="77777777" w:rsidR="007B7123" w:rsidRDefault="007B7123" w:rsidP="007B7123">
    <w:pPr>
      <w:pStyle w:val="Footer"/>
      <w:rPr>
        <w:rFonts w:cs="Arial"/>
        <w:sz w:val="16"/>
        <w:szCs w:val="16"/>
      </w:rPr>
    </w:pPr>
  </w:p>
  <w:p w14:paraId="5FA2697B" w14:textId="327853A6" w:rsidR="003C2FB3" w:rsidRPr="00E66F7F" w:rsidRDefault="003C2FB3" w:rsidP="007B7123">
    <w:pPr>
      <w:pStyle w:val="Footer"/>
      <w:pBdr>
        <w:top w:val="single" w:sz="4" w:space="1" w:color="AEAAAA" w:themeColor="background2" w:themeShade="BF"/>
      </w:pBdr>
      <w:rPr>
        <w:rFonts w:cs="Arial"/>
        <w:sz w:val="20"/>
      </w:rPr>
    </w:pPr>
    <w:r w:rsidRPr="310E4EB8">
      <w:rPr>
        <w:rFonts w:cs="Arial"/>
        <w:sz w:val="20"/>
      </w:rPr>
      <w:t xml:space="preserve">Florida Department of Health, Division of </w:t>
    </w:r>
    <w:r>
      <w:rPr>
        <w:rFonts w:cs="Arial"/>
        <w:sz w:val="20"/>
      </w:rPr>
      <w:t>Disease Control and Health Protections</w:t>
    </w:r>
    <w:r w:rsidRPr="00E66F7F">
      <w:rPr>
        <w:rFonts w:cs="Arial"/>
        <w:sz w:val="20"/>
      </w:rPr>
      <w:tab/>
    </w:r>
    <w:sdt>
      <w:sdtPr>
        <w:rPr>
          <w:rFonts w:cs="Arial"/>
          <w:sz w:val="20"/>
        </w:rPr>
        <w:id w:val="-482538798"/>
        <w:docPartObj>
          <w:docPartGallery w:val="Page Numbers (Bottom of Page)"/>
          <w:docPartUnique/>
        </w:docPartObj>
      </w:sdtPr>
      <w:sdtEndPr>
        <w:rPr>
          <w:color w:val="7F7F7F" w:themeColor="background1" w:themeShade="7F"/>
          <w:spacing w:val="60"/>
        </w:rPr>
      </w:sdtEndPr>
      <w:sdtContent>
        <w:r w:rsidRPr="00E66F7F">
          <w:rPr>
            <w:rFonts w:cs="Arial"/>
            <w:sz w:val="20"/>
          </w:rPr>
          <w:fldChar w:fldCharType="begin"/>
        </w:r>
        <w:r w:rsidRPr="00E66F7F">
          <w:rPr>
            <w:rFonts w:cs="Arial"/>
            <w:sz w:val="20"/>
          </w:rPr>
          <w:instrText xml:space="preserve"> PAGE   \* MERGEFORMAT </w:instrText>
        </w:r>
        <w:r w:rsidRPr="00E66F7F">
          <w:rPr>
            <w:rFonts w:cs="Arial"/>
            <w:sz w:val="20"/>
          </w:rPr>
          <w:fldChar w:fldCharType="separate"/>
        </w:r>
        <w:r w:rsidR="004B49E8">
          <w:rPr>
            <w:rFonts w:cs="Arial"/>
            <w:noProof/>
            <w:sz w:val="20"/>
          </w:rPr>
          <w:t>1</w:t>
        </w:r>
        <w:r w:rsidRPr="00E66F7F">
          <w:rPr>
            <w:rFonts w:cs="Arial"/>
            <w:noProof/>
            <w:sz w:val="20"/>
          </w:rPr>
          <w:fldChar w:fldCharType="end"/>
        </w:r>
        <w:r w:rsidRPr="00E66F7F">
          <w:rPr>
            <w:rFonts w:cs="Arial"/>
            <w:sz w:val="20"/>
          </w:rPr>
          <w:t xml:space="preserve"> | </w:t>
        </w:r>
        <w:r w:rsidRPr="00E66F7F">
          <w:rPr>
            <w:rFonts w:cs="Arial"/>
            <w:color w:val="7F7F7F" w:themeColor="background1" w:themeShade="7F"/>
            <w:spacing w:val="60"/>
            <w:sz w:val="20"/>
          </w:rPr>
          <w:t>Page</w:t>
        </w:r>
      </w:sdtContent>
    </w:sdt>
  </w:p>
  <w:p w14:paraId="74B57636" w14:textId="77777777" w:rsidR="003C2FB3" w:rsidRPr="00031B88" w:rsidRDefault="003C2FB3" w:rsidP="003C2FB3">
    <w:pPr>
      <w:pStyle w:val="Footer"/>
      <w:rPr>
        <w:rFonts w:cs="Arial"/>
        <w:sz w:val="20"/>
      </w:rPr>
    </w:pPr>
    <w:r w:rsidRPr="00031B88">
      <w:rPr>
        <w:rFonts w:cs="Arial"/>
        <w:sz w:val="20"/>
      </w:rPr>
      <w:t>Environmental Health Tracking Systems ITN</w:t>
    </w:r>
  </w:p>
  <w:p w14:paraId="3CCC197F" w14:textId="77777777" w:rsidR="003C2FB3" w:rsidRDefault="003C2F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ADD030" w14:textId="77777777" w:rsidR="00871FCD" w:rsidRDefault="00871FCD" w:rsidP="006520A5">
      <w:r>
        <w:separator/>
      </w:r>
    </w:p>
  </w:footnote>
  <w:footnote w:type="continuationSeparator" w:id="0">
    <w:p w14:paraId="00A7DD5B" w14:textId="77777777" w:rsidR="00871FCD" w:rsidRDefault="00871FCD" w:rsidP="006520A5">
      <w:r>
        <w:continuationSeparator/>
      </w:r>
    </w:p>
  </w:footnote>
  <w:footnote w:id="1">
    <w:p w14:paraId="061538C2" w14:textId="77777777" w:rsidR="001943E4" w:rsidRDefault="001943E4" w:rsidP="001943E4">
      <w:pPr>
        <w:pStyle w:val="FootnoteText"/>
      </w:pPr>
      <w:r>
        <w:rPr>
          <w:rStyle w:val="FootnoteReference"/>
        </w:rPr>
        <w:footnoteRef/>
      </w:r>
      <w:r>
        <w:t xml:space="preserve"> Authorized by Florida Statutes, Section 381.0098</w:t>
      </w:r>
    </w:p>
  </w:footnote>
  <w:footnote w:id="2">
    <w:p w14:paraId="63CB4043" w14:textId="77777777" w:rsidR="001943E4" w:rsidRDefault="001943E4" w:rsidP="001943E4">
      <w:pPr>
        <w:pStyle w:val="FootnoteText"/>
      </w:pPr>
      <w:r>
        <w:rPr>
          <w:rStyle w:val="FootnoteReference"/>
        </w:rPr>
        <w:footnoteRef/>
      </w:r>
      <w:r>
        <w:t xml:space="preserve"> Authorized by Florida Statutes, Section 381.0075</w:t>
      </w:r>
    </w:p>
  </w:footnote>
  <w:footnote w:id="3">
    <w:p w14:paraId="076D332B" w14:textId="77777777" w:rsidR="001943E4" w:rsidRDefault="001943E4" w:rsidP="001943E4">
      <w:pPr>
        <w:pStyle w:val="FootnoteText"/>
      </w:pPr>
      <w:r>
        <w:rPr>
          <w:rStyle w:val="FootnoteReference"/>
        </w:rPr>
        <w:footnoteRef/>
      </w:r>
      <w:r>
        <w:t xml:space="preserve"> Defined in the Florida Administrative Code, Chapter 64E-11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01880" w14:textId="4C0669D9" w:rsidR="006520A5" w:rsidRPr="00242017" w:rsidRDefault="00EA29EB" w:rsidP="15CD8BFC">
    <w:pPr>
      <w:pStyle w:val="Header"/>
      <w:jc w:val="center"/>
      <w:rPr>
        <w:rFonts w:cs="Arial"/>
        <w:b/>
        <w:bCs/>
        <w:sz w:val="28"/>
        <w:szCs w:val="28"/>
      </w:rPr>
    </w:pPr>
    <w:r w:rsidRPr="00242017">
      <w:rPr>
        <w:rFonts w:cs="Arial"/>
        <w:b/>
        <w:bCs/>
        <w:noProof/>
        <w:sz w:val="28"/>
        <w:szCs w:val="28"/>
      </w:rPr>
      <w:drawing>
        <wp:anchor distT="0" distB="0" distL="114300" distR="114300" simplePos="0" relativeHeight="251658240" behindDoc="0" locked="0" layoutInCell="1" allowOverlap="1" wp14:anchorId="5DDF1387" wp14:editId="1A7507C6">
          <wp:simplePos x="0" y="0"/>
          <wp:positionH relativeFrom="column">
            <wp:posOffset>5838825</wp:posOffset>
          </wp:positionH>
          <wp:positionV relativeFrom="page">
            <wp:posOffset>466725</wp:posOffset>
          </wp:positionV>
          <wp:extent cx="548640" cy="624840"/>
          <wp:effectExtent l="0" t="0" r="381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 health.jpg"/>
                  <pic:cNvPicPr/>
                </pic:nvPicPr>
                <pic:blipFill>
                  <a:blip r:embed="rId1">
                    <a:extLst>
                      <a:ext uri="{28A0092B-C50C-407E-A947-70E740481C1C}">
                        <a14:useLocalDpi xmlns:a14="http://schemas.microsoft.com/office/drawing/2010/main" val="0"/>
                      </a:ext>
                    </a:extLst>
                  </a:blip>
                  <a:stretch>
                    <a:fillRect/>
                  </a:stretch>
                </pic:blipFill>
                <pic:spPr>
                  <a:xfrm>
                    <a:off x="0" y="0"/>
                    <a:ext cx="548640" cy="624840"/>
                  </a:xfrm>
                  <a:prstGeom prst="rect">
                    <a:avLst/>
                  </a:prstGeom>
                </pic:spPr>
              </pic:pic>
            </a:graphicData>
          </a:graphic>
        </wp:anchor>
      </w:drawing>
    </w:r>
    <w:r w:rsidR="00242017" w:rsidRPr="00242017">
      <w:rPr>
        <w:rFonts w:cs="Arial"/>
        <w:b/>
        <w:bCs/>
        <w:noProof/>
        <w:sz w:val="28"/>
        <w:szCs w:val="28"/>
      </w:rPr>
      <w:t xml:space="preserve">Attachment </w:t>
    </w:r>
    <w:r w:rsidR="00E56BAD">
      <w:rPr>
        <w:rFonts w:cs="Arial"/>
        <w:b/>
        <w:bCs/>
        <w:noProof/>
        <w:sz w:val="28"/>
        <w:szCs w:val="28"/>
      </w:rPr>
      <w:t>C</w:t>
    </w:r>
    <w:r w:rsidR="00242017" w:rsidRPr="00242017">
      <w:rPr>
        <w:rFonts w:cs="Arial"/>
        <w:b/>
        <w:bCs/>
        <w:noProof/>
        <w:sz w:val="28"/>
        <w:szCs w:val="28"/>
      </w:rPr>
      <w:t xml:space="preserve"> – </w:t>
    </w:r>
    <w:r w:rsidR="00E56BAD">
      <w:rPr>
        <w:rFonts w:cs="Arial"/>
        <w:b/>
        <w:bCs/>
        <w:noProof/>
        <w:sz w:val="28"/>
        <w:szCs w:val="28"/>
      </w:rPr>
      <w:t>Current Application Environment</w:t>
    </w:r>
  </w:p>
  <w:p w14:paraId="10E8C390" w14:textId="6951015B" w:rsidR="00065EF0" w:rsidRPr="00242017" w:rsidRDefault="00065EF0" w:rsidP="00E56BAD">
    <w:pPr>
      <w:pStyle w:val="Header"/>
      <w:rPr>
        <w:rFonts w:cs="Arial"/>
        <w:b/>
        <w:bCs/>
        <w:sz w:val="28"/>
        <w:szCs w:val="28"/>
      </w:rPr>
    </w:pPr>
  </w:p>
  <w:p w14:paraId="044E27A7" w14:textId="77777777" w:rsidR="00E034F4" w:rsidRPr="00373E4A" w:rsidRDefault="00E034F4" w:rsidP="006520A5">
    <w:pPr>
      <w:pStyle w:val="Header"/>
      <w:jc w:val="center"/>
      <w:rPr>
        <w:rFonts w:cs="Arial"/>
        <w:b/>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A66F9"/>
    <w:multiLevelType w:val="hybridMultilevel"/>
    <w:tmpl w:val="4BDEFC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7572F2"/>
    <w:multiLevelType w:val="hybridMultilevel"/>
    <w:tmpl w:val="DC3EF6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1B4F01"/>
    <w:multiLevelType w:val="hybridMultilevel"/>
    <w:tmpl w:val="3BAC8A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3B12D2"/>
    <w:multiLevelType w:val="hybridMultilevel"/>
    <w:tmpl w:val="74869C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561EAA"/>
    <w:multiLevelType w:val="hybridMultilevel"/>
    <w:tmpl w:val="127EEDE6"/>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8D86D38"/>
    <w:multiLevelType w:val="hybridMultilevel"/>
    <w:tmpl w:val="F836DE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A3B1896"/>
    <w:multiLevelType w:val="hybridMultilevel"/>
    <w:tmpl w:val="F3A008EC"/>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F3C1B24"/>
    <w:multiLevelType w:val="hybridMultilevel"/>
    <w:tmpl w:val="14125814"/>
    <w:lvl w:ilvl="0" w:tplc="705E5F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B7759E"/>
    <w:multiLevelType w:val="hybridMultilevel"/>
    <w:tmpl w:val="24E02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BA4F52"/>
    <w:multiLevelType w:val="hybridMultilevel"/>
    <w:tmpl w:val="9DA2D1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2C20B2"/>
    <w:multiLevelType w:val="hybridMultilevel"/>
    <w:tmpl w:val="275EA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CA38C1"/>
    <w:multiLevelType w:val="hybridMultilevel"/>
    <w:tmpl w:val="EF449C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4F49A1"/>
    <w:multiLevelType w:val="hybridMultilevel"/>
    <w:tmpl w:val="31804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4"/>
  </w:num>
  <w:num w:numId="4">
    <w:abstractNumId w:val="0"/>
  </w:num>
  <w:num w:numId="5">
    <w:abstractNumId w:val="11"/>
  </w:num>
  <w:num w:numId="6">
    <w:abstractNumId w:val="3"/>
  </w:num>
  <w:num w:numId="7">
    <w:abstractNumId w:val="7"/>
  </w:num>
  <w:num w:numId="8">
    <w:abstractNumId w:val="1"/>
  </w:num>
  <w:num w:numId="9">
    <w:abstractNumId w:val="2"/>
  </w:num>
  <w:num w:numId="10">
    <w:abstractNumId w:val="9"/>
  </w:num>
  <w:num w:numId="11">
    <w:abstractNumId w:val="5"/>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0A5"/>
    <w:rsid w:val="00024CC2"/>
    <w:rsid w:val="00065EF0"/>
    <w:rsid w:val="0007573B"/>
    <w:rsid w:val="001943E4"/>
    <w:rsid w:val="00242017"/>
    <w:rsid w:val="00282A72"/>
    <w:rsid w:val="00373E4A"/>
    <w:rsid w:val="003A61F4"/>
    <w:rsid w:val="003C2FB3"/>
    <w:rsid w:val="004120ED"/>
    <w:rsid w:val="00416C8F"/>
    <w:rsid w:val="004B49E8"/>
    <w:rsid w:val="004D6306"/>
    <w:rsid w:val="005512E9"/>
    <w:rsid w:val="00637C4B"/>
    <w:rsid w:val="006520A5"/>
    <w:rsid w:val="007B7123"/>
    <w:rsid w:val="00871FCD"/>
    <w:rsid w:val="00BD0D15"/>
    <w:rsid w:val="00C409CC"/>
    <w:rsid w:val="00CB5952"/>
    <w:rsid w:val="00CC5546"/>
    <w:rsid w:val="00CF38C2"/>
    <w:rsid w:val="00DA549B"/>
    <w:rsid w:val="00E034F4"/>
    <w:rsid w:val="00E11287"/>
    <w:rsid w:val="00E56BAD"/>
    <w:rsid w:val="00E66F7F"/>
    <w:rsid w:val="00EA29EB"/>
    <w:rsid w:val="00F01A56"/>
    <w:rsid w:val="00F46D4A"/>
    <w:rsid w:val="00FB6768"/>
    <w:rsid w:val="15CD8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6B58E1"/>
  <w15:chartTrackingRefBased/>
  <w15:docId w15:val="{89D6278D-A262-4E74-8102-1C2390983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C5546"/>
    <w:pPr>
      <w:spacing w:after="0" w:line="240" w:lineRule="auto"/>
    </w:pPr>
    <w:rPr>
      <w:rFonts w:ascii="Arial" w:eastAsia="Times New Roman" w:hAnsi="Arial"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20A5"/>
    <w:pPr>
      <w:tabs>
        <w:tab w:val="center" w:pos="4680"/>
        <w:tab w:val="right" w:pos="9360"/>
      </w:tabs>
    </w:pPr>
  </w:style>
  <w:style w:type="character" w:customStyle="1" w:styleId="HeaderChar">
    <w:name w:val="Header Char"/>
    <w:basedOn w:val="DefaultParagraphFont"/>
    <w:link w:val="Header"/>
    <w:uiPriority w:val="99"/>
    <w:rsid w:val="006520A5"/>
  </w:style>
  <w:style w:type="paragraph" w:styleId="Footer">
    <w:name w:val="footer"/>
    <w:basedOn w:val="Normal"/>
    <w:link w:val="FooterChar"/>
    <w:uiPriority w:val="99"/>
    <w:unhideWhenUsed/>
    <w:rsid w:val="006520A5"/>
    <w:pPr>
      <w:tabs>
        <w:tab w:val="center" w:pos="4680"/>
        <w:tab w:val="right" w:pos="9360"/>
      </w:tabs>
    </w:pPr>
  </w:style>
  <w:style w:type="character" w:customStyle="1" w:styleId="FooterChar">
    <w:name w:val="Footer Char"/>
    <w:basedOn w:val="DefaultParagraphFont"/>
    <w:link w:val="Footer"/>
    <w:uiPriority w:val="99"/>
    <w:rsid w:val="006520A5"/>
  </w:style>
  <w:style w:type="paragraph" w:styleId="ListParagraph">
    <w:name w:val="List Paragraph"/>
    <w:basedOn w:val="Normal"/>
    <w:uiPriority w:val="34"/>
    <w:qFormat/>
    <w:rsid w:val="00BD0D15"/>
    <w:pPr>
      <w:ind w:left="720"/>
      <w:contextualSpacing/>
    </w:pPr>
  </w:style>
  <w:style w:type="paragraph" w:styleId="BalloonText">
    <w:name w:val="Balloon Text"/>
    <w:basedOn w:val="Normal"/>
    <w:link w:val="BalloonTextChar"/>
    <w:uiPriority w:val="99"/>
    <w:semiHidden/>
    <w:unhideWhenUsed/>
    <w:rsid w:val="002420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2017"/>
    <w:rPr>
      <w:rFonts w:ascii="Segoe UI" w:hAnsi="Segoe UI" w:cs="Segoe UI"/>
      <w:sz w:val="18"/>
      <w:szCs w:val="18"/>
    </w:rPr>
  </w:style>
  <w:style w:type="character" w:styleId="CommentReference">
    <w:name w:val="annotation reference"/>
    <w:semiHidden/>
    <w:rsid w:val="00CC5546"/>
    <w:rPr>
      <w:sz w:val="16"/>
      <w:szCs w:val="16"/>
    </w:rPr>
  </w:style>
  <w:style w:type="paragraph" w:styleId="CommentText">
    <w:name w:val="annotation text"/>
    <w:basedOn w:val="Normal"/>
    <w:link w:val="CommentTextChar"/>
    <w:uiPriority w:val="99"/>
    <w:rsid w:val="00CC5546"/>
  </w:style>
  <w:style w:type="character" w:customStyle="1" w:styleId="CommentTextChar">
    <w:name w:val="Comment Text Char"/>
    <w:basedOn w:val="DefaultParagraphFont"/>
    <w:link w:val="CommentText"/>
    <w:uiPriority w:val="99"/>
    <w:rsid w:val="00CC5546"/>
    <w:rPr>
      <w:rFonts w:ascii="Arial" w:eastAsia="Times New Roman" w:hAnsi="Arial" w:cs="Times New Roman"/>
      <w:szCs w:val="20"/>
    </w:rPr>
  </w:style>
  <w:style w:type="character" w:styleId="FootnoteReference">
    <w:name w:val="footnote reference"/>
    <w:basedOn w:val="DefaultParagraphFont"/>
    <w:uiPriority w:val="99"/>
    <w:semiHidden/>
    <w:unhideWhenUsed/>
    <w:rsid w:val="00CC5546"/>
    <w:rPr>
      <w:vertAlign w:val="superscript"/>
    </w:rPr>
  </w:style>
  <w:style w:type="paragraph" w:styleId="FootnoteText">
    <w:name w:val="footnote text"/>
    <w:basedOn w:val="Normal"/>
    <w:link w:val="FootnoteTextChar"/>
    <w:uiPriority w:val="99"/>
    <w:semiHidden/>
    <w:unhideWhenUsed/>
    <w:rsid w:val="001943E4"/>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1943E4"/>
    <w:rPr>
      <w:sz w:val="20"/>
      <w:szCs w:val="20"/>
    </w:rPr>
  </w:style>
  <w:style w:type="character" w:styleId="Hyperlink">
    <w:name w:val="Hyperlink"/>
    <w:basedOn w:val="DefaultParagraphFont"/>
    <w:uiPriority w:val="99"/>
    <w:unhideWhenUsed/>
    <w:rsid w:val="00DA549B"/>
    <w:rPr>
      <w:color w:val="0563C1" w:themeColor="hyperlink"/>
      <w:u w:val="single"/>
    </w:rPr>
  </w:style>
  <w:style w:type="table" w:styleId="TableGrid">
    <w:name w:val="Table Grid"/>
    <w:basedOn w:val="TableNormal"/>
    <w:uiPriority w:val="39"/>
    <w:rsid w:val="00C409C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myfloridaehpermits.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7DDA5605F73642913F1D1AA3741D6A" ma:contentTypeVersion="2" ma:contentTypeDescription="Create a new document." ma:contentTypeScope="" ma:versionID="3500d2353898f6423d76c7bbb75592a8">
  <xsd:schema xmlns:xsd="http://www.w3.org/2001/XMLSchema" xmlns:xs="http://www.w3.org/2001/XMLSchema" xmlns:p="http://schemas.microsoft.com/office/2006/metadata/properties" xmlns:ns2="ba36de65-56d3-4e66-a3c3-1ffee142ad08" targetNamespace="http://schemas.microsoft.com/office/2006/metadata/properties" ma:root="true" ma:fieldsID="c4a05187fb78cfe2e36780e1cbc81de2" ns2:_="">
    <xsd:import namespace="ba36de65-56d3-4e66-a3c3-1ffee142ad0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6de65-56d3-4e66-a3c3-1ffee142ad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D7EE1C-0A89-402E-812F-2E9F536182C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C35D8A3-65A4-4E6C-955F-9B4F352D39DF}">
  <ds:schemaRefs>
    <ds:schemaRef ds:uri="http://schemas.microsoft.com/sharepoint/v3/contenttype/forms"/>
  </ds:schemaRefs>
</ds:datastoreItem>
</file>

<file path=customXml/itemProps3.xml><?xml version="1.0" encoding="utf-8"?>
<ds:datastoreItem xmlns:ds="http://schemas.openxmlformats.org/officeDocument/2006/customXml" ds:itemID="{3096CF81-1505-44E7-B0D3-1698AC153E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6de65-56d3-4e66-a3c3-1ffee142ad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5825</Words>
  <Characters>33205</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Baino, Kenneth V</dc:creator>
  <cp:keywords/>
  <dc:description/>
  <cp:lastModifiedBy>William Groff</cp:lastModifiedBy>
  <cp:revision>2</cp:revision>
  <dcterms:created xsi:type="dcterms:W3CDTF">2018-02-12T16:31:00Z</dcterms:created>
  <dcterms:modified xsi:type="dcterms:W3CDTF">2018-02-12T16:31:00Z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0x010100C07DDA5605F73642913F1D1AA3741D6A</vt:lpwstr>
  </property>
  <property fmtid="{D5CDD505-2E9C-101B-9397-08002B2CF9AE}" pid="3" name="Order">
    <vt:r8>900</vt:r8>
  </property>
  <property fmtid="{D5CDD505-2E9C-101B-9397-08002B2CF9AE}" pid="4" name="xd_ProgID">
    <vt:lpwstr/>
  </property>
  <property fmtid="{D5CDD505-2E9C-101B-9397-08002B2CF9AE}" pid="5" name="_CopySource">
    <vt:lpwstr>https://floridahealth.sharepoint.com/sites/INFORMATIONTECHNOLOGY/BAIM/Early-Steps-ITN-Project/Team Docs/Response Templates/Hosting Approach and Plan Response.docx</vt:lpwstr>
  </property>
  <property fmtid="{D5CDD505-2E9C-101B-9397-08002B2CF9AE}" pid="6" name="TemplateUrl">
    <vt:lpwstr/>
  </property>
</Properties>
</file>