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30C4F" w14:textId="77777777" w:rsidR="00215ADB" w:rsidRPr="008709A2" w:rsidRDefault="00215ADB" w:rsidP="003D2D00">
      <w:pPr>
        <w:pStyle w:val="Heading1"/>
        <w:spacing w:before="64"/>
        <w:jc w:val="left"/>
      </w:pPr>
      <w:r>
        <w:rPr>
          <w:spacing w:val="-1"/>
        </w:rPr>
        <w:t>Questions and Answers</w:t>
      </w:r>
    </w:p>
    <w:p w14:paraId="30CCE704" w14:textId="342EF39A" w:rsidR="00215ADB" w:rsidRDefault="00215ADB" w:rsidP="00215ADB">
      <w:pPr>
        <w:pStyle w:val="Heading1"/>
        <w:spacing w:before="64"/>
      </w:pPr>
      <w:r w:rsidRPr="008709A2">
        <w:t xml:space="preserve">RFA </w:t>
      </w:r>
      <w:r w:rsidR="00BA77F2" w:rsidRPr="00BA77F2">
        <w:rPr>
          <w:u w:val="single"/>
        </w:rPr>
        <w:t>20</w:t>
      </w:r>
      <w:r w:rsidR="00BA77F2">
        <w:rPr>
          <w:u w:val="single"/>
        </w:rPr>
        <w:t xml:space="preserve"> </w:t>
      </w:r>
      <w:r w:rsidR="00BA77F2" w:rsidRPr="00BA77F2">
        <w:t>-</w:t>
      </w:r>
      <w:r w:rsidR="00BA77F2">
        <w:rPr>
          <w:u w:val="single"/>
        </w:rPr>
        <w:t xml:space="preserve"> </w:t>
      </w:r>
      <w:r w:rsidR="00BA77F2" w:rsidRPr="00BA77F2">
        <w:rPr>
          <w:u w:val="single"/>
        </w:rPr>
        <w:t>005</w:t>
      </w:r>
    </w:p>
    <w:p w14:paraId="73EA607E" w14:textId="77777777" w:rsidR="00E357D6" w:rsidRPr="00E357D6" w:rsidRDefault="00E357D6" w:rsidP="00215ADB">
      <w:pPr>
        <w:pStyle w:val="Heading1"/>
        <w:spacing w:before="64"/>
        <w:rPr>
          <w:rFonts w:cs="Arial"/>
          <w:shd w:val="clear" w:color="auto" w:fill="FFFFFF"/>
        </w:rPr>
      </w:pPr>
      <w:r w:rsidRPr="00E357D6">
        <w:rPr>
          <w:szCs w:val="28"/>
        </w:rPr>
        <w:t xml:space="preserve">Reducing Racial and Ethnic </w:t>
      </w:r>
      <w:r w:rsidRPr="00E357D6">
        <w:rPr>
          <w:rFonts w:cs="Arial"/>
          <w:shd w:val="clear" w:color="auto" w:fill="FFFFFF"/>
        </w:rPr>
        <w:t xml:space="preserve">Health Disparities </w:t>
      </w:r>
    </w:p>
    <w:p w14:paraId="0CFAB35A" w14:textId="0184BD69" w:rsidR="00215ADB" w:rsidRDefault="00E357D6" w:rsidP="00215ADB">
      <w:pPr>
        <w:pStyle w:val="Heading1"/>
        <w:spacing w:before="64"/>
        <w:rPr>
          <w:szCs w:val="28"/>
        </w:rPr>
      </w:pPr>
      <w:r w:rsidRPr="00E357D6">
        <w:rPr>
          <w:rFonts w:cs="Arial"/>
          <w:shd w:val="clear" w:color="auto" w:fill="FFFFFF"/>
        </w:rPr>
        <w:t xml:space="preserve">"Closing the Gap" Grant </w:t>
      </w:r>
      <w:r w:rsidR="00D425F5" w:rsidRPr="00E357D6">
        <w:rPr>
          <w:szCs w:val="28"/>
        </w:rPr>
        <w:t>Program</w:t>
      </w:r>
    </w:p>
    <w:p w14:paraId="6397B381" w14:textId="77777777" w:rsidR="00215ADB" w:rsidRPr="00215ADB" w:rsidRDefault="00215ADB" w:rsidP="00215ADB"/>
    <w:p w14:paraId="08BF47F5" w14:textId="77777777" w:rsidR="00215ADB" w:rsidRDefault="00215ADB" w:rsidP="00215ADB">
      <w:pPr>
        <w:spacing w:line="200" w:lineRule="exact"/>
        <w:rPr>
          <w:sz w:val="20"/>
        </w:rPr>
      </w:pPr>
    </w:p>
    <w:p w14:paraId="2A30C829" w14:textId="1CD59B52" w:rsidR="00215ADB" w:rsidRDefault="00215ADB" w:rsidP="00215ADB">
      <w:pPr>
        <w:rPr>
          <w:rFonts w:eastAsia="Arial" w:cs="Arial"/>
          <w:spacing w:val="-1"/>
          <w:sz w:val="24"/>
          <w:szCs w:val="24"/>
        </w:rPr>
      </w:pPr>
      <w:r w:rsidRPr="008709A2">
        <w:rPr>
          <w:rFonts w:eastAsia="Arial" w:cs="Arial"/>
          <w:b/>
          <w:bCs/>
          <w:spacing w:val="-1"/>
          <w:sz w:val="24"/>
          <w:szCs w:val="24"/>
        </w:rPr>
        <w:t>DATE</w:t>
      </w:r>
      <w:r w:rsidRPr="008709A2">
        <w:rPr>
          <w:rFonts w:eastAsia="Arial" w:cs="Arial"/>
          <w:b/>
          <w:bCs/>
          <w:sz w:val="24"/>
          <w:szCs w:val="24"/>
        </w:rPr>
        <w:t>:</w:t>
      </w:r>
      <w:r w:rsidRPr="008709A2">
        <w:rPr>
          <w:rFonts w:eastAsia="Arial" w:cs="Arial"/>
          <w:b/>
          <w:bCs/>
          <w:sz w:val="24"/>
          <w:szCs w:val="24"/>
        </w:rPr>
        <w:tab/>
      </w:r>
      <w:r w:rsidR="009F61FB" w:rsidRPr="00BA77F2">
        <w:rPr>
          <w:rFonts w:eastAsia="Arial" w:cs="Arial"/>
          <w:spacing w:val="-1"/>
          <w:sz w:val="24"/>
          <w:szCs w:val="24"/>
        </w:rPr>
        <w:t>February</w:t>
      </w:r>
      <w:r w:rsidRPr="00BA77F2">
        <w:rPr>
          <w:rFonts w:eastAsia="Arial" w:cs="Arial"/>
          <w:spacing w:val="-1"/>
          <w:sz w:val="24"/>
          <w:szCs w:val="24"/>
        </w:rPr>
        <w:t xml:space="preserve"> </w:t>
      </w:r>
      <w:r w:rsidR="00DB1593">
        <w:rPr>
          <w:rFonts w:eastAsia="Arial" w:cs="Arial"/>
          <w:spacing w:val="-1"/>
          <w:sz w:val="24"/>
          <w:szCs w:val="24"/>
        </w:rPr>
        <w:t>22</w:t>
      </w:r>
      <w:r w:rsidRPr="00BA77F2">
        <w:rPr>
          <w:rFonts w:eastAsia="Arial" w:cs="Arial"/>
          <w:spacing w:val="-1"/>
          <w:sz w:val="24"/>
          <w:szCs w:val="24"/>
        </w:rPr>
        <w:t xml:space="preserve">, </w:t>
      </w:r>
      <w:r w:rsidR="00BA77F2" w:rsidRPr="00BA77F2">
        <w:rPr>
          <w:rFonts w:eastAsia="Arial" w:cs="Arial"/>
          <w:spacing w:val="-1"/>
          <w:sz w:val="24"/>
          <w:szCs w:val="24"/>
        </w:rPr>
        <w:t>2021</w:t>
      </w:r>
    </w:p>
    <w:p w14:paraId="632301ED" w14:textId="388039A9" w:rsidR="00215ADB" w:rsidRDefault="00215ADB" w:rsidP="00215ADB">
      <w:pPr>
        <w:rPr>
          <w:rFonts w:eastAsia="Arial" w:cs="Arial"/>
          <w:spacing w:val="-1"/>
          <w:sz w:val="24"/>
          <w:szCs w:val="24"/>
        </w:rPr>
      </w:pPr>
    </w:p>
    <w:p w14:paraId="510DDCE1" w14:textId="77777777" w:rsidR="00215ADB" w:rsidRDefault="00215ADB" w:rsidP="00215ADB">
      <w:pPr>
        <w:rPr>
          <w:rFonts w:eastAsia="Arial" w:cs="Arial"/>
          <w:spacing w:val="-1"/>
          <w:sz w:val="24"/>
          <w:szCs w:val="24"/>
        </w:rPr>
      </w:pPr>
      <w:r>
        <w:rPr>
          <w:rFonts w:eastAsia="Arial" w:cs="Arial"/>
          <w:b/>
          <w:bCs/>
          <w:sz w:val="24"/>
          <w:szCs w:val="24"/>
        </w:rPr>
        <w:t>TO:</w:t>
      </w:r>
      <w:r>
        <w:rPr>
          <w:rFonts w:eastAsia="Arial" w:cs="Arial"/>
          <w:b/>
          <w:bCs/>
          <w:sz w:val="24"/>
          <w:szCs w:val="24"/>
        </w:rPr>
        <w:tab/>
      </w:r>
      <w:r>
        <w:rPr>
          <w:rFonts w:eastAsia="Arial" w:cs="Arial"/>
          <w:b/>
          <w:bCs/>
          <w:sz w:val="24"/>
          <w:szCs w:val="24"/>
        </w:rPr>
        <w:tab/>
      </w:r>
      <w:r>
        <w:rPr>
          <w:rFonts w:eastAsia="Arial" w:cs="Arial"/>
          <w:spacing w:val="-1"/>
          <w:sz w:val="24"/>
          <w:szCs w:val="24"/>
        </w:rPr>
        <w:t>Applicants</w:t>
      </w:r>
    </w:p>
    <w:p w14:paraId="1BDF8047" w14:textId="77777777" w:rsidR="00215ADB" w:rsidRDefault="00215ADB" w:rsidP="00215ADB">
      <w:pPr>
        <w:rPr>
          <w:rFonts w:eastAsia="Arial" w:cs="Arial"/>
          <w:spacing w:val="-1"/>
          <w:sz w:val="24"/>
          <w:szCs w:val="24"/>
        </w:rPr>
      </w:pPr>
    </w:p>
    <w:p w14:paraId="6848E3C8" w14:textId="39BD8836" w:rsidR="00215ADB" w:rsidRPr="008709A2" w:rsidRDefault="00215ADB" w:rsidP="00215ADB">
      <w:pPr>
        <w:ind w:left="1440" w:hanging="1440"/>
        <w:rPr>
          <w:rFonts w:eastAsia="Arial" w:cs="Arial"/>
          <w:spacing w:val="-1"/>
          <w:sz w:val="24"/>
          <w:szCs w:val="24"/>
        </w:rPr>
      </w:pPr>
      <w:r w:rsidRPr="008709A2">
        <w:rPr>
          <w:rFonts w:eastAsia="Arial" w:cs="Arial"/>
          <w:b/>
          <w:spacing w:val="-1"/>
          <w:sz w:val="24"/>
          <w:szCs w:val="24"/>
        </w:rPr>
        <w:t>FROM:</w:t>
      </w:r>
      <w:r w:rsidRPr="008709A2">
        <w:rPr>
          <w:rFonts w:eastAsia="Arial" w:cs="Arial"/>
          <w:b/>
          <w:spacing w:val="-1"/>
          <w:sz w:val="24"/>
          <w:szCs w:val="24"/>
        </w:rPr>
        <w:tab/>
      </w:r>
      <w:r w:rsidR="00BA77F2">
        <w:rPr>
          <w:rFonts w:eastAsia="Arial" w:cs="Arial"/>
          <w:spacing w:val="-1"/>
          <w:sz w:val="24"/>
          <w:szCs w:val="24"/>
        </w:rPr>
        <w:t>Office of Minority Health and Health Equity (OMHHE)</w:t>
      </w:r>
    </w:p>
    <w:p w14:paraId="4F574E24" w14:textId="77777777" w:rsidR="00215ADB" w:rsidRDefault="00215ADB" w:rsidP="00215ADB">
      <w:pPr>
        <w:rPr>
          <w:rFonts w:eastAsia="Arial" w:cs="Arial"/>
          <w:spacing w:val="-1"/>
          <w:sz w:val="24"/>
          <w:szCs w:val="24"/>
        </w:rPr>
      </w:pPr>
      <w:r w:rsidRPr="008709A2">
        <w:rPr>
          <w:rFonts w:eastAsia="Arial" w:cs="Arial"/>
          <w:spacing w:val="-1"/>
          <w:sz w:val="24"/>
          <w:szCs w:val="24"/>
        </w:rPr>
        <w:tab/>
      </w:r>
      <w:r w:rsidRPr="008709A2">
        <w:rPr>
          <w:rFonts w:eastAsia="Arial" w:cs="Arial"/>
          <w:spacing w:val="-1"/>
          <w:sz w:val="24"/>
          <w:szCs w:val="24"/>
        </w:rPr>
        <w:tab/>
        <w:t>Florida Department of Health</w:t>
      </w:r>
    </w:p>
    <w:p w14:paraId="635D96CA" w14:textId="77777777" w:rsidR="00215ADB" w:rsidRDefault="00215ADB" w:rsidP="00215ADB">
      <w:pPr>
        <w:rPr>
          <w:rFonts w:eastAsia="Arial" w:cs="Arial"/>
          <w:spacing w:val="-1"/>
          <w:sz w:val="24"/>
          <w:szCs w:val="24"/>
        </w:rPr>
      </w:pPr>
    </w:p>
    <w:p w14:paraId="186EA9D0" w14:textId="2357FB15" w:rsidR="00215ADB" w:rsidRPr="008E6ABE" w:rsidRDefault="00215ADB" w:rsidP="00215ADB">
      <w:pPr>
        <w:rPr>
          <w:rFonts w:eastAsia="Arial" w:cs="Arial"/>
          <w:sz w:val="24"/>
          <w:szCs w:val="24"/>
        </w:rPr>
      </w:pPr>
      <w:r w:rsidRPr="008709A2">
        <w:rPr>
          <w:rFonts w:eastAsia="Arial" w:cs="Arial"/>
          <w:b/>
          <w:spacing w:val="-1"/>
          <w:sz w:val="24"/>
          <w:szCs w:val="24"/>
        </w:rPr>
        <w:t>SUBJECT:</w:t>
      </w:r>
      <w:r w:rsidRPr="008709A2">
        <w:rPr>
          <w:rFonts w:eastAsia="Arial" w:cs="Arial"/>
          <w:spacing w:val="-1"/>
          <w:sz w:val="24"/>
          <w:szCs w:val="24"/>
        </w:rPr>
        <w:tab/>
      </w:r>
      <w:r>
        <w:rPr>
          <w:rFonts w:eastAsia="Arial" w:cs="Arial"/>
          <w:spacing w:val="-1"/>
          <w:sz w:val="24"/>
          <w:szCs w:val="24"/>
        </w:rPr>
        <w:t>Questions and Answers</w:t>
      </w:r>
      <w:r w:rsidRPr="008709A2">
        <w:rPr>
          <w:rFonts w:eastAsia="Arial" w:cs="Arial"/>
          <w:sz w:val="24"/>
          <w:szCs w:val="24"/>
        </w:rPr>
        <w:t xml:space="preserve">: </w:t>
      </w:r>
      <w:r w:rsidRPr="00BA77F2">
        <w:rPr>
          <w:rFonts w:eastAsia="Arial" w:cs="Arial"/>
          <w:spacing w:val="-1"/>
          <w:sz w:val="24"/>
          <w:szCs w:val="24"/>
          <w:u w:val="single"/>
        </w:rPr>
        <w:t>RF</w:t>
      </w:r>
      <w:r w:rsidRPr="00BA77F2">
        <w:rPr>
          <w:rFonts w:eastAsia="Arial" w:cs="Arial"/>
          <w:sz w:val="24"/>
          <w:szCs w:val="24"/>
          <w:u w:val="single"/>
        </w:rPr>
        <w:t>A #</w:t>
      </w:r>
      <w:r w:rsidR="00BA77F2" w:rsidRPr="00BA77F2">
        <w:rPr>
          <w:sz w:val="24"/>
          <w:szCs w:val="24"/>
          <w:u w:val="single"/>
        </w:rPr>
        <w:t>20-005</w:t>
      </w:r>
    </w:p>
    <w:p w14:paraId="68754FA6" w14:textId="77777777" w:rsidR="00215ADB" w:rsidRDefault="00215ADB" w:rsidP="00215ADB">
      <w:pPr>
        <w:spacing w:line="200" w:lineRule="exact"/>
        <w:rPr>
          <w:sz w:val="20"/>
        </w:rPr>
      </w:pPr>
    </w:p>
    <w:p w14:paraId="1E958551" w14:textId="5ADA8EED" w:rsidR="00FE0598" w:rsidRDefault="00FE0598" w:rsidP="00BA77F2">
      <w:pPr>
        <w:rPr>
          <w:rFonts w:cs="Arial"/>
          <w:szCs w:val="22"/>
        </w:rPr>
      </w:pPr>
    </w:p>
    <w:p w14:paraId="073E0F1B" w14:textId="6F1DF65F" w:rsidR="003D2D00" w:rsidRPr="003D2D00" w:rsidRDefault="003D2D00" w:rsidP="003D2D00">
      <w:pPr>
        <w:jc w:val="center"/>
        <w:rPr>
          <w:rFonts w:eastAsia="Calibri" w:cs="Arial"/>
          <w:b/>
          <w:szCs w:val="22"/>
        </w:rPr>
      </w:pPr>
    </w:p>
    <w:p w14:paraId="72D63E1F" w14:textId="77777777" w:rsidR="003D2D00" w:rsidRPr="003D2D00" w:rsidRDefault="003D2D00" w:rsidP="003D2D00">
      <w:pPr>
        <w:rPr>
          <w:rFonts w:eastAsia="Calibri" w:cs="Arial"/>
          <w:b/>
          <w:bCs/>
          <w:szCs w:val="22"/>
        </w:rPr>
      </w:pPr>
    </w:p>
    <w:p w14:paraId="201A17C3" w14:textId="77777777" w:rsidR="003D2D00" w:rsidRPr="003D2D00" w:rsidRDefault="003D2D00" w:rsidP="003D2D00">
      <w:pPr>
        <w:numPr>
          <w:ilvl w:val="0"/>
          <w:numId w:val="22"/>
        </w:numPr>
        <w:spacing w:after="160" w:line="259" w:lineRule="auto"/>
        <w:contextualSpacing/>
        <w:rPr>
          <w:rFonts w:eastAsia="Calibri" w:cs="Arial"/>
          <w:szCs w:val="22"/>
        </w:rPr>
      </w:pPr>
      <w:r w:rsidRPr="003D2D00">
        <w:rPr>
          <w:rFonts w:eastAsia="Calibri" w:cs="Arial"/>
          <w:szCs w:val="22"/>
        </w:rPr>
        <w:t>“In-Kind matching of funds” does this include Medical Providers that are gratis?</w:t>
      </w:r>
    </w:p>
    <w:p w14:paraId="240E47EB" w14:textId="77777777" w:rsidR="003D2D00" w:rsidRPr="003D2D00" w:rsidRDefault="003D2D00" w:rsidP="003D2D00">
      <w:pPr>
        <w:ind w:left="720"/>
        <w:contextualSpacing/>
        <w:rPr>
          <w:rFonts w:eastAsia="Calibri" w:cs="Arial"/>
          <w:color w:val="FF0000"/>
          <w:szCs w:val="22"/>
        </w:rPr>
      </w:pPr>
      <w:r w:rsidRPr="003D2D00">
        <w:rPr>
          <w:rFonts w:eastAsia="Calibri" w:cs="Arial"/>
          <w:color w:val="FF0000"/>
          <w:szCs w:val="22"/>
        </w:rPr>
        <w:t xml:space="preserve">Department Answer: Yes, the hours-donated (in kind salary) from a licensed medical professional is considered “in kind matching funds”. </w:t>
      </w:r>
    </w:p>
    <w:p w14:paraId="52E9BF10" w14:textId="77777777" w:rsidR="003D2D00" w:rsidRPr="003D2D00" w:rsidRDefault="003D2D00" w:rsidP="003D2D00">
      <w:pPr>
        <w:ind w:left="720"/>
        <w:contextualSpacing/>
        <w:rPr>
          <w:rFonts w:eastAsia="Calibri" w:cs="Arial"/>
          <w:color w:val="FF0000"/>
          <w:szCs w:val="22"/>
        </w:rPr>
      </w:pPr>
    </w:p>
    <w:p w14:paraId="6C53A798" w14:textId="77777777" w:rsidR="003D2D00" w:rsidRPr="003D2D00" w:rsidRDefault="003D2D00" w:rsidP="003D2D00">
      <w:pPr>
        <w:numPr>
          <w:ilvl w:val="0"/>
          <w:numId w:val="22"/>
        </w:numPr>
        <w:spacing w:after="160" w:line="259" w:lineRule="auto"/>
        <w:contextualSpacing/>
        <w:rPr>
          <w:rFonts w:eastAsia="Calibri" w:cs="Arial"/>
          <w:szCs w:val="22"/>
        </w:rPr>
      </w:pPr>
      <w:r w:rsidRPr="003D2D00">
        <w:rPr>
          <w:rFonts w:eastAsia="Calibri" w:cs="Arial"/>
          <w:szCs w:val="22"/>
        </w:rPr>
        <w:t>In reference to the match, is the breakdown for populations &gt; 50,000; 75% state match to 25% local match? Is the 25% local match 50% cash and 50% ‘in-kind’?</w:t>
      </w:r>
    </w:p>
    <w:p w14:paraId="605169CD" w14:textId="77777777" w:rsidR="003D2D00" w:rsidRPr="003D2D00" w:rsidRDefault="003D2D00" w:rsidP="003D2D00">
      <w:pPr>
        <w:ind w:left="720"/>
        <w:contextualSpacing/>
        <w:rPr>
          <w:rFonts w:eastAsia="Calibri" w:cs="Arial"/>
          <w:color w:val="FF0000"/>
          <w:szCs w:val="22"/>
        </w:rPr>
      </w:pPr>
      <w:r w:rsidRPr="003D2D00">
        <w:rPr>
          <w:rFonts w:eastAsia="Calibri" w:cs="Arial"/>
          <w:color w:val="FF0000"/>
          <w:szCs w:val="22"/>
        </w:rPr>
        <w:t>Department Answer: In counties with populations greater than 50,000, up to 50% of the local match may be in kind in the form of free services or human resources. 50% of the local match must be in the form of cash. Please refer to Section 1.7, Matching Funds Requirements, page 10.</w:t>
      </w:r>
    </w:p>
    <w:p w14:paraId="2E54D9C8" w14:textId="77777777" w:rsidR="003D2D00" w:rsidRPr="003D2D00" w:rsidRDefault="003D2D00" w:rsidP="003D2D00">
      <w:pPr>
        <w:rPr>
          <w:rFonts w:eastAsia="Calibri" w:cs="Arial"/>
          <w:szCs w:val="22"/>
        </w:rPr>
      </w:pPr>
    </w:p>
    <w:p w14:paraId="08338E40" w14:textId="77777777" w:rsidR="003D2D00" w:rsidRPr="003D2D00" w:rsidRDefault="003D2D00" w:rsidP="003D2D00">
      <w:pPr>
        <w:numPr>
          <w:ilvl w:val="0"/>
          <w:numId w:val="22"/>
        </w:numPr>
        <w:spacing w:after="160" w:line="259" w:lineRule="auto"/>
        <w:contextualSpacing/>
        <w:rPr>
          <w:rFonts w:eastAsia="Calibri" w:cs="Arial"/>
          <w:szCs w:val="22"/>
        </w:rPr>
      </w:pPr>
      <w:bookmarkStart w:id="0" w:name="_Hlk64624264"/>
      <w:r w:rsidRPr="003D2D00">
        <w:rPr>
          <w:rFonts w:eastAsia="Calibri" w:cs="Arial"/>
          <w:szCs w:val="22"/>
        </w:rPr>
        <w:t>The provision of medical or clinical services are not permitted with this funding.” Does that mean if patients cannot afford to pay for a medical visit, medications, diagnostic testing, labs, or Mental Health services (visits) that the funding may not be used to pay the fee for these types of services? Or can the funding be used to pay the Medical Provider or Mental Health Provider fees?</w:t>
      </w:r>
    </w:p>
    <w:p w14:paraId="3CE4D064" w14:textId="319A409D" w:rsidR="003D2D00" w:rsidRDefault="003D2D00" w:rsidP="003D2D00">
      <w:pPr>
        <w:ind w:left="720"/>
        <w:contextualSpacing/>
        <w:rPr>
          <w:rFonts w:eastAsia="Calibri" w:cs="Arial"/>
          <w:color w:val="FF0000"/>
          <w:szCs w:val="22"/>
        </w:rPr>
      </w:pPr>
      <w:r w:rsidRPr="003D2D00">
        <w:rPr>
          <w:rFonts w:eastAsia="Calibri" w:cs="Arial"/>
          <w:color w:val="FF0000"/>
          <w:szCs w:val="22"/>
        </w:rPr>
        <w:t xml:space="preserve">Department Answer: No, funding cannot be used to cover fees for </w:t>
      </w:r>
      <w:proofErr w:type="gramStart"/>
      <w:r w:rsidRPr="003D2D00">
        <w:rPr>
          <w:rFonts w:eastAsia="Calibri" w:cs="Arial"/>
          <w:color w:val="FF0000"/>
          <w:szCs w:val="22"/>
        </w:rPr>
        <w:t>these type of services</w:t>
      </w:r>
      <w:proofErr w:type="gramEnd"/>
      <w:r w:rsidRPr="003D2D00">
        <w:rPr>
          <w:rFonts w:eastAsia="Calibri" w:cs="Arial"/>
          <w:color w:val="FF0000"/>
          <w:szCs w:val="22"/>
        </w:rPr>
        <w:t>.</w:t>
      </w:r>
    </w:p>
    <w:p w14:paraId="05AD9BEF" w14:textId="755A1F29" w:rsidR="003D2D00" w:rsidRDefault="003D2D00" w:rsidP="003D2D00">
      <w:pPr>
        <w:ind w:left="720"/>
        <w:contextualSpacing/>
        <w:rPr>
          <w:rFonts w:eastAsia="Calibri" w:cs="Arial"/>
          <w:color w:val="FF0000"/>
          <w:szCs w:val="22"/>
        </w:rPr>
      </w:pPr>
    </w:p>
    <w:p w14:paraId="1D6A6E51" w14:textId="717AA0B2" w:rsidR="003D2D00" w:rsidRDefault="003D2D00" w:rsidP="003D2D00">
      <w:pPr>
        <w:ind w:left="720"/>
        <w:contextualSpacing/>
        <w:rPr>
          <w:rFonts w:eastAsia="Calibri" w:cs="Arial"/>
          <w:color w:val="FF0000"/>
          <w:szCs w:val="22"/>
        </w:rPr>
      </w:pPr>
    </w:p>
    <w:p w14:paraId="0873CE25" w14:textId="7388FF61" w:rsidR="003D2D00" w:rsidRDefault="003D2D00" w:rsidP="003D2D00">
      <w:pPr>
        <w:ind w:left="720"/>
        <w:contextualSpacing/>
        <w:rPr>
          <w:rFonts w:eastAsia="Calibri" w:cs="Arial"/>
          <w:color w:val="FF0000"/>
          <w:szCs w:val="22"/>
        </w:rPr>
      </w:pPr>
    </w:p>
    <w:p w14:paraId="69BA2F49" w14:textId="77777777" w:rsidR="003D2D00" w:rsidRPr="003D2D00" w:rsidRDefault="003D2D00" w:rsidP="003D2D00">
      <w:pPr>
        <w:ind w:left="720"/>
        <w:contextualSpacing/>
        <w:rPr>
          <w:rFonts w:eastAsia="Calibri" w:cs="Arial"/>
          <w:color w:val="FF0000"/>
          <w:szCs w:val="22"/>
        </w:rPr>
      </w:pPr>
    </w:p>
    <w:bookmarkEnd w:id="0"/>
    <w:p w14:paraId="311B6D70" w14:textId="77777777" w:rsidR="003D2D00" w:rsidRPr="003D2D00" w:rsidRDefault="003D2D00" w:rsidP="003D2D00">
      <w:pPr>
        <w:ind w:left="720"/>
        <w:contextualSpacing/>
        <w:rPr>
          <w:rFonts w:eastAsia="Calibri" w:cs="Arial"/>
          <w:color w:val="FF0000"/>
          <w:szCs w:val="22"/>
        </w:rPr>
      </w:pPr>
    </w:p>
    <w:p w14:paraId="044224C1" w14:textId="77777777" w:rsidR="003D2D00" w:rsidRPr="003D2D00" w:rsidRDefault="003D2D00" w:rsidP="003D2D00">
      <w:pPr>
        <w:numPr>
          <w:ilvl w:val="0"/>
          <w:numId w:val="22"/>
        </w:numPr>
        <w:spacing w:after="160" w:line="259" w:lineRule="auto"/>
        <w:contextualSpacing/>
        <w:rPr>
          <w:rFonts w:eastAsia="Calibri" w:cs="Arial"/>
          <w:szCs w:val="22"/>
        </w:rPr>
      </w:pPr>
      <w:r w:rsidRPr="003D2D00">
        <w:rPr>
          <w:rFonts w:eastAsia="Calibri" w:cs="Arial"/>
          <w:szCs w:val="22"/>
        </w:rPr>
        <w:lastRenderedPageBreak/>
        <w:t>We request an addition to the Appendix A/ EBI Repository the following:</w:t>
      </w:r>
    </w:p>
    <w:p w14:paraId="7888A307" w14:textId="77777777" w:rsidR="003D2D00" w:rsidRPr="003D2D00" w:rsidRDefault="003D2D00" w:rsidP="003D2D00">
      <w:pPr>
        <w:rPr>
          <w:rFonts w:eastAsia="Calibri" w:cs="Arial"/>
          <w:sz w:val="12"/>
          <w:szCs w:val="12"/>
        </w:rPr>
      </w:pPr>
    </w:p>
    <w:p w14:paraId="2CE3361C" w14:textId="77777777" w:rsidR="003D2D00" w:rsidRPr="003D2D00" w:rsidRDefault="003D2D00" w:rsidP="003D2D00">
      <w:pPr>
        <w:rPr>
          <w:rFonts w:eastAsia="Calibri" w:cs="Arial"/>
          <w:sz w:val="18"/>
          <w:szCs w:val="18"/>
        </w:rPr>
      </w:pPr>
      <w:r w:rsidRPr="003D2D00">
        <w:rPr>
          <w:rFonts w:eastAsia="Calibri" w:cs="Arial"/>
          <w:sz w:val="18"/>
          <w:szCs w:val="18"/>
        </w:rPr>
        <w:t xml:space="preserve">Priority 3: Cardiovascular Disease – </w:t>
      </w:r>
    </w:p>
    <w:p w14:paraId="239F9FAC" w14:textId="77777777" w:rsidR="003D2D00" w:rsidRPr="003D2D00" w:rsidRDefault="007D0747" w:rsidP="003D2D00">
      <w:pPr>
        <w:rPr>
          <w:rFonts w:eastAsia="Calibri" w:cs="Arial"/>
          <w:sz w:val="18"/>
          <w:szCs w:val="18"/>
        </w:rPr>
      </w:pPr>
      <w:hyperlink r:id="rId11" w:history="1">
        <w:r w:rsidR="003D2D00" w:rsidRPr="003D2D00">
          <w:rPr>
            <w:rFonts w:eastAsia="Calibri" w:cs="Arial"/>
            <w:color w:val="0563C1"/>
            <w:sz w:val="18"/>
            <w:szCs w:val="18"/>
            <w:u w:val="single"/>
          </w:rPr>
          <w:t>www.ncbi.nlm.nih.gov</w:t>
        </w:r>
      </w:hyperlink>
    </w:p>
    <w:p w14:paraId="3DBD589C" w14:textId="77777777" w:rsidR="003D2D00" w:rsidRPr="003D2D00" w:rsidRDefault="007D0747" w:rsidP="003D2D00">
      <w:pPr>
        <w:rPr>
          <w:rFonts w:eastAsia="Calibri" w:cs="Arial"/>
          <w:sz w:val="18"/>
          <w:szCs w:val="18"/>
        </w:rPr>
      </w:pPr>
      <w:hyperlink r:id="rId12" w:history="1">
        <w:r w:rsidR="003D2D00" w:rsidRPr="003D2D00">
          <w:rPr>
            <w:rFonts w:eastAsia="Calibri" w:cs="Arial"/>
            <w:color w:val="0563C1"/>
            <w:sz w:val="18"/>
            <w:szCs w:val="18"/>
            <w:u w:val="single"/>
          </w:rPr>
          <w:t>https://www.hsph.harvard.edu/nutritionsource/disease-prevention/cardiovascular-disease/</w:t>
        </w:r>
      </w:hyperlink>
      <w:r w:rsidR="003D2D00" w:rsidRPr="003D2D00">
        <w:rPr>
          <w:rFonts w:eastAsia="Calibri" w:cs="Arial"/>
          <w:sz w:val="18"/>
          <w:szCs w:val="18"/>
        </w:rPr>
        <w:t xml:space="preserve"> </w:t>
      </w:r>
    </w:p>
    <w:p w14:paraId="23FD2B52" w14:textId="77777777" w:rsidR="003D2D00" w:rsidRPr="003D2D00" w:rsidRDefault="003D2D00" w:rsidP="003D2D00">
      <w:pPr>
        <w:rPr>
          <w:rFonts w:eastAsia="Calibri" w:cs="Arial"/>
          <w:sz w:val="18"/>
          <w:szCs w:val="18"/>
        </w:rPr>
      </w:pPr>
      <w:r w:rsidRPr="003D2D00">
        <w:rPr>
          <w:rFonts w:eastAsia="Calibri" w:cs="Arial"/>
          <w:sz w:val="18"/>
          <w:szCs w:val="18"/>
        </w:rPr>
        <w:t xml:space="preserve">Priority 4: Diabetes – </w:t>
      </w:r>
    </w:p>
    <w:p w14:paraId="4273A9AD" w14:textId="77777777" w:rsidR="003D2D00" w:rsidRPr="003D2D00" w:rsidRDefault="007D0747" w:rsidP="003D2D00">
      <w:pPr>
        <w:rPr>
          <w:rFonts w:eastAsia="Calibri" w:cs="Arial"/>
          <w:color w:val="0000FF"/>
          <w:sz w:val="18"/>
          <w:szCs w:val="18"/>
          <w:u w:val="single"/>
        </w:rPr>
      </w:pPr>
      <w:hyperlink r:id="rId13" w:history="1">
        <w:r w:rsidR="003D2D00" w:rsidRPr="003D2D00">
          <w:rPr>
            <w:rFonts w:eastAsia="Calibri" w:cs="Arial"/>
            <w:color w:val="0563C1"/>
            <w:sz w:val="18"/>
            <w:szCs w:val="18"/>
            <w:u w:val="single"/>
          </w:rPr>
          <w:t>https://www.nih.gov/</w:t>
        </w:r>
      </w:hyperlink>
    </w:p>
    <w:p w14:paraId="6A413739" w14:textId="77777777" w:rsidR="003D2D00" w:rsidRPr="003D2D00" w:rsidRDefault="007D0747" w:rsidP="003D2D00">
      <w:pPr>
        <w:rPr>
          <w:rFonts w:eastAsia="Calibri" w:cs="Arial"/>
          <w:sz w:val="18"/>
          <w:szCs w:val="18"/>
        </w:rPr>
      </w:pPr>
      <w:hyperlink r:id="rId14" w:history="1">
        <w:r w:rsidR="003D2D00" w:rsidRPr="003D2D00">
          <w:rPr>
            <w:rFonts w:eastAsia="Calibri" w:cs="Arial"/>
            <w:color w:val="0563C1"/>
            <w:sz w:val="18"/>
            <w:szCs w:val="18"/>
            <w:u w:val="single"/>
          </w:rPr>
          <w:t>www.ncbi.nlm.nih.gov</w:t>
        </w:r>
      </w:hyperlink>
    </w:p>
    <w:p w14:paraId="62F07CB1" w14:textId="77777777" w:rsidR="003D2D00" w:rsidRPr="003D2D00" w:rsidRDefault="003D2D00" w:rsidP="003D2D00">
      <w:pPr>
        <w:rPr>
          <w:rFonts w:eastAsia="Calibri" w:cs="Arial"/>
          <w:sz w:val="18"/>
          <w:szCs w:val="18"/>
        </w:rPr>
      </w:pPr>
      <w:r w:rsidRPr="003D2D00">
        <w:rPr>
          <w:rFonts w:eastAsia="Calibri" w:cs="Arial"/>
          <w:sz w:val="18"/>
          <w:szCs w:val="18"/>
        </w:rPr>
        <w:t xml:space="preserve">Priority 5: HIV/AIDS – </w:t>
      </w:r>
    </w:p>
    <w:p w14:paraId="3EEC7D39" w14:textId="77777777" w:rsidR="003D2D00" w:rsidRPr="003D2D00" w:rsidRDefault="007D0747" w:rsidP="003D2D00">
      <w:pPr>
        <w:rPr>
          <w:rFonts w:eastAsia="Calibri" w:cs="Arial"/>
          <w:sz w:val="18"/>
          <w:szCs w:val="18"/>
          <w:u w:val="single"/>
        </w:rPr>
      </w:pPr>
      <w:hyperlink r:id="rId15" w:history="1">
        <w:r w:rsidR="003D2D00" w:rsidRPr="003D2D00">
          <w:rPr>
            <w:rFonts w:eastAsia="Calibri" w:cs="Arial"/>
            <w:color w:val="0563C1"/>
            <w:sz w:val="18"/>
            <w:szCs w:val="18"/>
            <w:u w:val="single"/>
          </w:rPr>
          <w:t>https://www.csis.org/programs/global-health-policy-center/ghpc-videos/resurgence-hiv-american-south</w:t>
        </w:r>
      </w:hyperlink>
    </w:p>
    <w:p w14:paraId="118CD544" w14:textId="77777777" w:rsidR="003D2D00" w:rsidRPr="003D2D00" w:rsidRDefault="003D2D00" w:rsidP="003D2D00">
      <w:pPr>
        <w:rPr>
          <w:rFonts w:eastAsia="Calibri" w:cs="Arial"/>
          <w:sz w:val="18"/>
          <w:szCs w:val="18"/>
        </w:rPr>
      </w:pPr>
      <w:r w:rsidRPr="003D2D00">
        <w:rPr>
          <w:rFonts w:eastAsia="Calibri" w:cs="Arial"/>
          <w:sz w:val="18"/>
          <w:szCs w:val="18"/>
        </w:rPr>
        <w:t xml:space="preserve">Priority 11: Social Determinants of Health – </w:t>
      </w:r>
    </w:p>
    <w:p w14:paraId="62DE5835" w14:textId="77777777" w:rsidR="003D2D00" w:rsidRPr="003D2D00" w:rsidRDefault="007D0747" w:rsidP="003D2D00">
      <w:pPr>
        <w:rPr>
          <w:rFonts w:eastAsia="Calibri" w:cs="Arial"/>
          <w:sz w:val="18"/>
          <w:szCs w:val="18"/>
        </w:rPr>
      </w:pPr>
      <w:hyperlink r:id="rId16" w:tgtFrame="_blank" w:history="1">
        <w:r w:rsidR="003D2D00" w:rsidRPr="003D2D00">
          <w:rPr>
            <w:rFonts w:eastAsia="Calibri" w:cs="Arial"/>
            <w:color w:val="0000FF"/>
            <w:sz w:val="18"/>
            <w:szCs w:val="18"/>
            <w:u w:val="single"/>
          </w:rPr>
          <w:t>https://www.samhsa.gov/</w:t>
        </w:r>
      </w:hyperlink>
    </w:p>
    <w:p w14:paraId="06EAE68A" w14:textId="77777777" w:rsidR="003D2D00" w:rsidRPr="003D2D00" w:rsidRDefault="007D0747" w:rsidP="003D2D00">
      <w:pPr>
        <w:rPr>
          <w:rFonts w:eastAsia="Calibri" w:cs="Arial"/>
          <w:sz w:val="18"/>
          <w:szCs w:val="18"/>
        </w:rPr>
      </w:pPr>
      <w:hyperlink r:id="rId17" w:tgtFrame="_blank" w:history="1">
        <w:r w:rsidR="003D2D00" w:rsidRPr="003D2D00">
          <w:rPr>
            <w:rFonts w:eastAsia="Calibri" w:cs="Arial"/>
            <w:color w:val="0000FF"/>
            <w:sz w:val="18"/>
            <w:szCs w:val="18"/>
            <w:u w:val="single"/>
          </w:rPr>
          <w:t>https://www.migrantclinician.org/issues/migrant-info/migrant.html</w:t>
        </w:r>
      </w:hyperlink>
    </w:p>
    <w:p w14:paraId="7C9AE437" w14:textId="77777777" w:rsidR="003D2D00" w:rsidRPr="003D2D00" w:rsidRDefault="007D0747" w:rsidP="003D2D00">
      <w:pPr>
        <w:rPr>
          <w:rFonts w:eastAsia="Calibri" w:cs="Arial"/>
          <w:sz w:val="18"/>
          <w:szCs w:val="18"/>
        </w:rPr>
      </w:pPr>
      <w:hyperlink r:id="rId18" w:history="1">
        <w:r w:rsidR="003D2D00" w:rsidRPr="003D2D00">
          <w:rPr>
            <w:rFonts w:eastAsia="Calibri" w:cs="Arial"/>
            <w:color w:val="0563C1"/>
            <w:sz w:val="18"/>
            <w:szCs w:val="18"/>
            <w:u w:val="single"/>
          </w:rPr>
          <w:t>https://www.cdc.gov/media/releases/2020p1218-overdose-deaths-covid-19.html</w:t>
        </w:r>
      </w:hyperlink>
    </w:p>
    <w:p w14:paraId="5D321900" w14:textId="77777777" w:rsidR="003D2D00" w:rsidRPr="003D2D00" w:rsidRDefault="007D0747" w:rsidP="003D2D00">
      <w:pPr>
        <w:rPr>
          <w:rFonts w:eastAsia="Calibri" w:cs="Arial"/>
          <w:sz w:val="18"/>
          <w:szCs w:val="18"/>
        </w:rPr>
      </w:pPr>
      <w:hyperlink r:id="rId19" w:history="1">
        <w:r w:rsidR="003D2D00" w:rsidRPr="003D2D00">
          <w:rPr>
            <w:rFonts w:eastAsia="Calibri" w:cs="Arial"/>
            <w:color w:val="0563C1"/>
            <w:sz w:val="18"/>
            <w:szCs w:val="18"/>
            <w:u w:val="single"/>
          </w:rPr>
          <w:t>https://www.nih.gov/substance-use-disorders-linked-covid-19</w:t>
        </w:r>
      </w:hyperlink>
    </w:p>
    <w:p w14:paraId="65F5FB20" w14:textId="77777777" w:rsidR="003D2D00" w:rsidRPr="003D2D00" w:rsidRDefault="007D0747" w:rsidP="003D2D00">
      <w:pPr>
        <w:rPr>
          <w:rFonts w:eastAsia="Calibri" w:cs="Arial"/>
          <w:sz w:val="18"/>
          <w:szCs w:val="18"/>
        </w:rPr>
      </w:pPr>
      <w:hyperlink r:id="rId20" w:history="1">
        <w:r w:rsidR="003D2D00" w:rsidRPr="003D2D00">
          <w:rPr>
            <w:rFonts w:eastAsia="Calibri" w:cs="Arial"/>
            <w:color w:val="0563C1"/>
            <w:sz w:val="18"/>
            <w:szCs w:val="18"/>
            <w:u w:val="single"/>
          </w:rPr>
          <w:t>https://www.jamanetwork.com/journals/jama</w:t>
        </w:r>
      </w:hyperlink>
    </w:p>
    <w:p w14:paraId="28AFEA92" w14:textId="77777777" w:rsidR="003D2D00" w:rsidRPr="003D2D00" w:rsidRDefault="007D0747" w:rsidP="003D2D00">
      <w:pPr>
        <w:rPr>
          <w:rFonts w:eastAsia="Calibri" w:cs="Arial"/>
          <w:sz w:val="18"/>
          <w:szCs w:val="18"/>
        </w:rPr>
      </w:pPr>
      <w:hyperlink r:id="rId21" w:history="1">
        <w:r w:rsidR="003D2D00" w:rsidRPr="003D2D00">
          <w:rPr>
            <w:rFonts w:eastAsia="Calibri" w:cs="Arial"/>
            <w:color w:val="0563C1"/>
            <w:sz w:val="18"/>
            <w:szCs w:val="18"/>
            <w:u w:val="single"/>
          </w:rPr>
          <w:t>https://www.cdc.gov/coronavirus/2019-ncov/stress-coping/alcohol-use.html</w:t>
        </w:r>
      </w:hyperlink>
    </w:p>
    <w:p w14:paraId="7FC6A4BF" w14:textId="77777777" w:rsidR="003D2D00" w:rsidRPr="003D2D00" w:rsidRDefault="007D0747" w:rsidP="003D2D00">
      <w:pPr>
        <w:rPr>
          <w:rFonts w:eastAsia="Calibri" w:cs="Arial"/>
          <w:sz w:val="18"/>
          <w:szCs w:val="18"/>
        </w:rPr>
      </w:pPr>
      <w:hyperlink r:id="rId22" w:history="1">
        <w:r w:rsidR="003D2D00" w:rsidRPr="003D2D00">
          <w:rPr>
            <w:rFonts w:eastAsia="Calibri" w:cs="Arial"/>
            <w:color w:val="0563C1"/>
            <w:sz w:val="18"/>
            <w:szCs w:val="18"/>
            <w:u w:val="single"/>
          </w:rPr>
          <w:t>https://www.ama-assn.org/system/files/2020-12/issue-brief-increases-in-opioid-related-overdose.pdf</w:t>
        </w:r>
      </w:hyperlink>
    </w:p>
    <w:p w14:paraId="02AB3F0F" w14:textId="77777777" w:rsidR="003D2D00" w:rsidRPr="003D2D00" w:rsidRDefault="003D2D00" w:rsidP="003D2D00">
      <w:pPr>
        <w:rPr>
          <w:rFonts w:eastAsia="Calibri" w:cs="Arial"/>
          <w:szCs w:val="22"/>
        </w:rPr>
      </w:pPr>
    </w:p>
    <w:p w14:paraId="7E9EC5BD" w14:textId="5ED0B73D" w:rsidR="003D2D00" w:rsidRPr="003D2D00" w:rsidRDefault="003D2D00" w:rsidP="003D2D00">
      <w:pPr>
        <w:ind w:left="720"/>
        <w:contextualSpacing/>
        <w:rPr>
          <w:rFonts w:eastAsia="Calibri" w:cs="Arial"/>
          <w:color w:val="FF0000"/>
          <w:szCs w:val="22"/>
        </w:rPr>
      </w:pPr>
      <w:r w:rsidRPr="003D2D00">
        <w:rPr>
          <w:rFonts w:eastAsia="Calibri" w:cs="Arial"/>
          <w:color w:val="FF0000"/>
          <w:szCs w:val="22"/>
        </w:rPr>
        <w:t>Department Answer: This request has been denied. The links provided are not evidence-based interventions (EBIs). Using the list of interventions provided in RFA 20-005, Appendix A (pages 37-51), please select an EBI (i.e. curriculum,</w:t>
      </w:r>
      <w:r>
        <w:rPr>
          <w:rFonts w:eastAsia="Calibri" w:cs="Arial"/>
          <w:color w:val="FF0000"/>
          <w:szCs w:val="22"/>
        </w:rPr>
        <w:t xml:space="preserve"> policy,</w:t>
      </w:r>
      <w:r w:rsidRPr="003D2D00">
        <w:rPr>
          <w:rFonts w:eastAsia="Calibri" w:cs="Arial"/>
          <w:color w:val="FF0000"/>
          <w:szCs w:val="22"/>
        </w:rPr>
        <w:t xml:space="preserve"> methodology,</w:t>
      </w:r>
      <w:r>
        <w:rPr>
          <w:rFonts w:eastAsia="Calibri" w:cs="Arial"/>
          <w:color w:val="FF0000"/>
          <w:szCs w:val="22"/>
        </w:rPr>
        <w:t xml:space="preserve"> service,</w:t>
      </w:r>
      <w:r w:rsidRPr="003D2D00">
        <w:rPr>
          <w:rFonts w:eastAsia="Calibri" w:cs="Arial"/>
          <w:color w:val="FF0000"/>
          <w:szCs w:val="22"/>
        </w:rPr>
        <w:t xml:space="preserve"> etc.) to support your program proposal by priority area.</w:t>
      </w:r>
    </w:p>
    <w:p w14:paraId="2C14D2B5" w14:textId="77777777" w:rsidR="003D2D00" w:rsidRPr="003D2D00" w:rsidRDefault="003D2D00" w:rsidP="003D2D00">
      <w:pPr>
        <w:ind w:left="720"/>
        <w:contextualSpacing/>
        <w:rPr>
          <w:rFonts w:eastAsia="Calibri" w:cs="Arial"/>
          <w:color w:val="FF0000"/>
          <w:szCs w:val="22"/>
        </w:rPr>
      </w:pPr>
    </w:p>
    <w:p w14:paraId="6934FECE" w14:textId="77777777" w:rsidR="003D2D00" w:rsidRPr="003D2D00" w:rsidRDefault="003D2D00" w:rsidP="003D2D00">
      <w:pPr>
        <w:numPr>
          <w:ilvl w:val="0"/>
          <w:numId w:val="22"/>
        </w:numPr>
        <w:spacing w:after="160" w:line="259" w:lineRule="auto"/>
        <w:contextualSpacing/>
        <w:rPr>
          <w:rFonts w:eastAsia="Calibri" w:cs="Arial"/>
          <w:szCs w:val="22"/>
        </w:rPr>
      </w:pPr>
      <w:r w:rsidRPr="003D2D00">
        <w:rPr>
          <w:rFonts w:eastAsia="Calibri" w:cs="Arial"/>
          <w:szCs w:val="22"/>
        </w:rPr>
        <w:t xml:space="preserve">Appendix A list 11 evidence-based intervention focus areas. The links listed in the repository do not contain specific curriculums or implementation methodologies (ex: CATCH, Cooking Matters, Body &amp; Soul, etc.). It appears it is just a guide. </w:t>
      </w:r>
      <w:proofErr w:type="gramStart"/>
      <w:r w:rsidRPr="003D2D00">
        <w:rPr>
          <w:rFonts w:eastAsia="Calibri" w:cs="Arial"/>
          <w:szCs w:val="22"/>
        </w:rPr>
        <w:t>With this in mind, are</w:t>
      </w:r>
      <w:proofErr w:type="gramEnd"/>
      <w:r w:rsidRPr="003D2D00">
        <w:rPr>
          <w:rFonts w:eastAsia="Calibri" w:cs="Arial"/>
          <w:szCs w:val="22"/>
        </w:rPr>
        <w:t xml:space="preserve"> we to find curriculums and implementation strategies that support these focus areas and/or fall within these categories? If so, does the committee/department need to know what specific curriculum we will be employing before the grant submission deadline?</w:t>
      </w:r>
    </w:p>
    <w:p w14:paraId="31201814" w14:textId="77777777" w:rsidR="003D2D00" w:rsidRPr="003D2D00" w:rsidRDefault="003D2D00" w:rsidP="003D2D00">
      <w:pPr>
        <w:ind w:left="720"/>
        <w:contextualSpacing/>
        <w:rPr>
          <w:rFonts w:eastAsia="Calibri" w:cs="Arial"/>
          <w:color w:val="FF0000"/>
          <w:szCs w:val="22"/>
        </w:rPr>
      </w:pPr>
      <w:r w:rsidRPr="003D2D00">
        <w:rPr>
          <w:rFonts w:eastAsia="Calibri" w:cs="Arial"/>
          <w:color w:val="FF0000"/>
          <w:szCs w:val="22"/>
        </w:rPr>
        <w:t>Department Answer: All applicants must select one or more of the EBIs (i.e. methodology, policies, curriculum, services, etc.) identified in Appendix A (pages 37-51) to address their selected priority areas.</w:t>
      </w:r>
    </w:p>
    <w:p w14:paraId="374878AE" w14:textId="77777777" w:rsidR="003D2D00" w:rsidRPr="003D2D00" w:rsidRDefault="003D2D00" w:rsidP="003D2D00">
      <w:pPr>
        <w:rPr>
          <w:rFonts w:eastAsia="Calibri" w:cs="Arial"/>
          <w:b/>
          <w:bCs/>
          <w:szCs w:val="22"/>
        </w:rPr>
      </w:pPr>
    </w:p>
    <w:p w14:paraId="724A74A3" w14:textId="77777777" w:rsidR="003D2D00" w:rsidRPr="003D2D00" w:rsidRDefault="003D2D00" w:rsidP="003D2D00">
      <w:pPr>
        <w:numPr>
          <w:ilvl w:val="0"/>
          <w:numId w:val="22"/>
        </w:numPr>
        <w:spacing w:after="160" w:line="259" w:lineRule="auto"/>
        <w:contextualSpacing/>
        <w:rPr>
          <w:rFonts w:cs="Arial"/>
          <w:color w:val="000000"/>
          <w:szCs w:val="22"/>
        </w:rPr>
      </w:pPr>
      <w:r w:rsidRPr="003D2D00">
        <w:rPr>
          <w:rFonts w:cs="Arial"/>
          <w:color w:val="000000"/>
          <w:szCs w:val="22"/>
        </w:rPr>
        <w:t>It is possible to request a copy of a prior grant that has been funded for Maternal/Infant Mortality and Social Determinants of Health categories?</w:t>
      </w:r>
    </w:p>
    <w:p w14:paraId="2D6991B8" w14:textId="77777777" w:rsidR="003D2D00" w:rsidRPr="003D2D00" w:rsidRDefault="003D2D00" w:rsidP="003D2D00">
      <w:pPr>
        <w:ind w:left="720"/>
        <w:contextualSpacing/>
        <w:rPr>
          <w:rFonts w:eastAsia="Calibri" w:cs="Arial"/>
          <w:color w:val="FF0000"/>
          <w:szCs w:val="22"/>
        </w:rPr>
      </w:pPr>
      <w:bookmarkStart w:id="1" w:name="_Hlk64368050"/>
      <w:r w:rsidRPr="003D2D00">
        <w:rPr>
          <w:rFonts w:eastAsia="Calibri" w:cs="Arial"/>
          <w:color w:val="FF0000"/>
          <w:szCs w:val="22"/>
        </w:rPr>
        <w:t xml:space="preserve">Department Answer: You may submit an official request for public records to access government meetings and records. Please note this request may not be fulfilled prior to RFA 20-005 application deadline. Guidelines for submitting a request may be found here: </w:t>
      </w:r>
      <w:hyperlink r:id="rId23" w:history="1">
        <w:r w:rsidRPr="003D2D00">
          <w:rPr>
            <w:rFonts w:eastAsia="Calibri" w:cs="Arial"/>
            <w:color w:val="0563C1"/>
            <w:szCs w:val="22"/>
            <w:u w:val="single"/>
          </w:rPr>
          <w:t>http://www.floridahealth.gov/about/sunshine-info/public-records-requests/index.html</w:t>
        </w:r>
      </w:hyperlink>
      <w:r w:rsidRPr="003D2D00">
        <w:rPr>
          <w:rFonts w:eastAsia="Calibri" w:cs="Arial"/>
          <w:color w:val="FF0000"/>
          <w:szCs w:val="22"/>
        </w:rPr>
        <w:t xml:space="preserve"> </w:t>
      </w:r>
    </w:p>
    <w:bookmarkEnd w:id="1"/>
    <w:p w14:paraId="4608071A" w14:textId="77777777" w:rsidR="003D2D00" w:rsidRPr="003D2D00" w:rsidRDefault="003D2D00" w:rsidP="003D2D00">
      <w:pPr>
        <w:rPr>
          <w:rFonts w:eastAsia="Calibri" w:cs="Arial"/>
          <w:color w:val="FF0000"/>
          <w:szCs w:val="22"/>
        </w:rPr>
      </w:pPr>
    </w:p>
    <w:p w14:paraId="3D054052"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If our organization provides the match for a partner or subcontractor, does that partner need to meet the same level 2 background check requirements, and do we have to have those on file for them to teach classes?</w:t>
      </w:r>
    </w:p>
    <w:p w14:paraId="0D815565" w14:textId="77777777" w:rsidR="003D2D00" w:rsidRPr="003D2D00" w:rsidRDefault="003D2D00" w:rsidP="003D2D00">
      <w:pPr>
        <w:ind w:left="720"/>
        <w:contextualSpacing/>
        <w:rPr>
          <w:rFonts w:cs="Arial"/>
          <w:color w:val="FF0000"/>
          <w:szCs w:val="22"/>
        </w:rPr>
      </w:pPr>
      <w:r w:rsidRPr="003D2D00">
        <w:rPr>
          <w:rFonts w:eastAsia="Calibri" w:cs="Arial"/>
          <w:color w:val="FF0000"/>
          <w:szCs w:val="22"/>
        </w:rPr>
        <w:t xml:space="preserve">Department Answer: </w:t>
      </w:r>
      <w:r w:rsidRPr="003D2D00">
        <w:rPr>
          <w:rFonts w:cs="Arial"/>
          <w:color w:val="FF0000"/>
          <w:szCs w:val="22"/>
        </w:rPr>
        <w:t xml:space="preserve">Yes, the background requirements apply to partners and subcontractors, including those acquired with matched funds. </w:t>
      </w:r>
    </w:p>
    <w:p w14:paraId="35B5C1BC" w14:textId="77777777" w:rsidR="003D2D00" w:rsidRPr="003D2D00" w:rsidRDefault="003D2D00" w:rsidP="003D2D00">
      <w:pPr>
        <w:rPr>
          <w:rFonts w:eastAsia="Calibri" w:cs="Arial"/>
          <w:color w:val="002060"/>
          <w:szCs w:val="22"/>
        </w:rPr>
      </w:pPr>
    </w:p>
    <w:p w14:paraId="18D60C10"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For the potential 1-year renewal, would that be funding for the 2022-2023 fiscal year or the 2023-2024 fiscal year?</w:t>
      </w:r>
    </w:p>
    <w:p w14:paraId="66996F38" w14:textId="77777777" w:rsidR="003D2D00" w:rsidRPr="003D2D00" w:rsidRDefault="003D2D00" w:rsidP="003D2D00">
      <w:pPr>
        <w:ind w:left="720"/>
        <w:contextualSpacing/>
        <w:rPr>
          <w:rFonts w:cs="Arial"/>
          <w:color w:val="FF0000"/>
          <w:szCs w:val="22"/>
        </w:rPr>
      </w:pPr>
      <w:r w:rsidRPr="003D2D00">
        <w:rPr>
          <w:rFonts w:eastAsia="Calibri" w:cs="Arial"/>
          <w:color w:val="FF0000"/>
          <w:szCs w:val="22"/>
        </w:rPr>
        <w:t xml:space="preserve">Department Answer: </w:t>
      </w:r>
      <w:r w:rsidRPr="003D2D00">
        <w:rPr>
          <w:rFonts w:cs="Arial"/>
          <w:color w:val="FF0000"/>
          <w:szCs w:val="22"/>
        </w:rPr>
        <w:t>If renewed, it would be for the fiscal year 2022-2023.</w:t>
      </w:r>
    </w:p>
    <w:p w14:paraId="274C9408" w14:textId="77777777" w:rsidR="003D2D00" w:rsidRPr="003D2D00" w:rsidRDefault="003D2D00" w:rsidP="003D2D00">
      <w:pPr>
        <w:rPr>
          <w:rFonts w:eastAsia="Calibri" w:cs="Arial"/>
          <w:b/>
          <w:bCs/>
          <w:szCs w:val="22"/>
        </w:rPr>
      </w:pPr>
    </w:p>
    <w:p w14:paraId="3FD7C4D5"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2.1 (6) Our current partners are providers who are not allowing in person- meetings due to COVID-19. As FDOH what is the purpose of the quarterly meetings?</w:t>
      </w:r>
    </w:p>
    <w:p w14:paraId="53A6F59F" w14:textId="77777777" w:rsidR="003D2D00" w:rsidRPr="003D2D00" w:rsidRDefault="003D2D00" w:rsidP="003D2D00">
      <w:pPr>
        <w:ind w:left="720"/>
        <w:rPr>
          <w:rFonts w:cs="Arial"/>
          <w:color w:val="FF0000"/>
          <w:szCs w:val="22"/>
        </w:rPr>
      </w:pPr>
      <w:r w:rsidRPr="003D2D00">
        <w:rPr>
          <w:rFonts w:eastAsia="Calibri" w:cs="Arial"/>
          <w:color w:val="FF0000"/>
          <w:szCs w:val="22"/>
        </w:rPr>
        <w:t xml:space="preserve">Department Answer: </w:t>
      </w:r>
      <w:r w:rsidRPr="003D2D00">
        <w:rPr>
          <w:rFonts w:cs="Arial"/>
          <w:color w:val="FF0000"/>
          <w:szCs w:val="22"/>
        </w:rPr>
        <w:t xml:space="preserve">The RFA 20-005 does not specify that these meetings </w:t>
      </w:r>
      <w:proofErr w:type="gramStart"/>
      <w:r w:rsidRPr="003D2D00">
        <w:rPr>
          <w:rFonts w:cs="Arial"/>
          <w:color w:val="FF0000"/>
          <w:szCs w:val="22"/>
        </w:rPr>
        <w:t>have to</w:t>
      </w:r>
      <w:proofErr w:type="gramEnd"/>
      <w:r w:rsidRPr="003D2D00">
        <w:rPr>
          <w:rFonts w:cs="Arial"/>
          <w:color w:val="FF0000"/>
          <w:szCs w:val="22"/>
        </w:rPr>
        <w:t xml:space="preserve"> be held in person, but they must convene on a quarterly basis. These meetings are to ensure active engagement with your partners and leverage resources for optimal community impact. </w:t>
      </w:r>
    </w:p>
    <w:p w14:paraId="4729B139" w14:textId="77777777" w:rsidR="003D2D00" w:rsidRPr="003D2D00" w:rsidRDefault="003D2D00" w:rsidP="003D2D00">
      <w:pPr>
        <w:ind w:left="720"/>
        <w:rPr>
          <w:rFonts w:cs="Arial"/>
          <w:color w:val="FF0000"/>
          <w:szCs w:val="22"/>
        </w:rPr>
      </w:pPr>
    </w:p>
    <w:p w14:paraId="2580B718"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2.1 (5) Per contract clients are seen one time per fiscal year, how will we apply Section 2.1, number 5 to our new contract?</w:t>
      </w:r>
    </w:p>
    <w:p w14:paraId="55FCCFF6" w14:textId="77777777" w:rsidR="003D2D00" w:rsidRPr="003D2D00" w:rsidRDefault="003D2D00" w:rsidP="003D2D00">
      <w:pPr>
        <w:ind w:left="720"/>
        <w:rPr>
          <w:rFonts w:cs="Arial"/>
          <w:color w:val="FF0000"/>
          <w:szCs w:val="22"/>
        </w:rPr>
      </w:pPr>
      <w:r w:rsidRPr="003D2D00">
        <w:rPr>
          <w:rFonts w:eastAsia="Calibri" w:cs="Arial"/>
          <w:color w:val="FF0000"/>
          <w:szCs w:val="22"/>
        </w:rPr>
        <w:t xml:space="preserve">Department Answer: </w:t>
      </w:r>
      <w:r w:rsidRPr="003D2D00">
        <w:rPr>
          <w:rFonts w:cs="Arial"/>
          <w:color w:val="FF0000"/>
          <w:szCs w:val="22"/>
        </w:rPr>
        <w:t>Depending on your priority area and program, a client may be eligible to access services more than once. Thus, a follow-up assessment must be performed in that circumstance.</w:t>
      </w:r>
    </w:p>
    <w:p w14:paraId="5EC2EBB4" w14:textId="77777777" w:rsidR="003D2D00" w:rsidRPr="003D2D00" w:rsidRDefault="003D2D00" w:rsidP="003D2D00">
      <w:pPr>
        <w:ind w:left="720"/>
        <w:rPr>
          <w:rFonts w:cs="Arial"/>
          <w:color w:val="FF0000"/>
          <w:szCs w:val="22"/>
        </w:rPr>
      </w:pPr>
    </w:p>
    <w:p w14:paraId="76D94256"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Appendix A: Priority 4 Diabetes/ Evidence Based Interventions: As FDOH employees, are any other certifications and licensures required?</w:t>
      </w:r>
    </w:p>
    <w:p w14:paraId="07D2D74E" w14:textId="77777777" w:rsidR="003D2D00" w:rsidRPr="003D2D00" w:rsidRDefault="003D2D00" w:rsidP="003D2D00">
      <w:pPr>
        <w:ind w:left="720"/>
        <w:rPr>
          <w:rFonts w:cs="Arial"/>
          <w:szCs w:val="22"/>
        </w:rPr>
      </w:pPr>
      <w:r w:rsidRPr="003D2D00">
        <w:rPr>
          <w:rFonts w:cs="Arial"/>
          <w:color w:val="FF0000"/>
          <w:szCs w:val="22"/>
        </w:rPr>
        <w:t>Department Answer: Additional requirements may be necessary, depending on the selected EBI and organizational capacity. Please verify necessary requirements by clicking on the links provided (page 41).</w:t>
      </w:r>
    </w:p>
    <w:p w14:paraId="3E9A7AC4" w14:textId="77777777" w:rsidR="003D2D00" w:rsidRPr="003D2D00" w:rsidRDefault="003D2D00" w:rsidP="003D2D00">
      <w:pPr>
        <w:ind w:left="720"/>
        <w:rPr>
          <w:rFonts w:cs="Arial"/>
          <w:szCs w:val="22"/>
        </w:rPr>
      </w:pPr>
    </w:p>
    <w:p w14:paraId="47648A38"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Referral Assessment pg. 92: Are the referral activities a requirement for our program as we do not have the funds to meet specific needs (ex: transportation, food security)</w:t>
      </w:r>
    </w:p>
    <w:p w14:paraId="77175816" w14:textId="77777777" w:rsidR="003D2D00" w:rsidRPr="003D2D00" w:rsidRDefault="003D2D00" w:rsidP="003D2D00">
      <w:pPr>
        <w:spacing w:after="160" w:line="259" w:lineRule="auto"/>
        <w:ind w:left="720"/>
        <w:contextualSpacing/>
        <w:rPr>
          <w:rFonts w:cs="Arial"/>
          <w:color w:val="FF0000"/>
          <w:szCs w:val="22"/>
        </w:rPr>
      </w:pPr>
      <w:r w:rsidRPr="003D2D00">
        <w:rPr>
          <w:rFonts w:eastAsia="Calibri" w:cs="Arial"/>
          <w:color w:val="FF0000"/>
          <w:szCs w:val="22"/>
        </w:rPr>
        <w:t xml:space="preserve">Department Answer: </w:t>
      </w:r>
      <w:r w:rsidRPr="003D2D00">
        <w:rPr>
          <w:rFonts w:cs="Arial"/>
          <w:color w:val="FF0000"/>
          <w:szCs w:val="22"/>
        </w:rPr>
        <w:t xml:space="preserve">Referral activities may be added to the resulting contract based on the needs of the target populations addressed in your application, including those listed in Attachment 11. </w:t>
      </w:r>
    </w:p>
    <w:p w14:paraId="559B4AB6" w14:textId="77777777" w:rsidR="003D2D00" w:rsidRPr="003D2D00" w:rsidRDefault="003D2D00" w:rsidP="003D2D00">
      <w:pPr>
        <w:ind w:left="720"/>
        <w:rPr>
          <w:rFonts w:cs="Arial"/>
          <w:color w:val="FF0000"/>
          <w:szCs w:val="22"/>
        </w:rPr>
      </w:pPr>
    </w:p>
    <w:p w14:paraId="418E18BC"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Page 92: Our program does not require income verification for services. Does the new contract require income verification to identify below the poverty level status?</w:t>
      </w:r>
    </w:p>
    <w:p w14:paraId="0357BE5D" w14:textId="77777777" w:rsidR="003D2D00" w:rsidRPr="003D2D00" w:rsidRDefault="003D2D00" w:rsidP="003D2D00">
      <w:pPr>
        <w:ind w:left="720"/>
        <w:contextualSpacing/>
        <w:rPr>
          <w:rFonts w:eastAsia="Calibri" w:cs="Arial"/>
          <w:color w:val="FF0000"/>
          <w:szCs w:val="22"/>
        </w:rPr>
      </w:pPr>
      <w:r w:rsidRPr="003D2D00">
        <w:rPr>
          <w:rFonts w:eastAsia="Calibri" w:cs="Arial"/>
          <w:color w:val="FF0000"/>
          <w:szCs w:val="22"/>
        </w:rPr>
        <w:t>Department Answer: No.</w:t>
      </w:r>
    </w:p>
    <w:p w14:paraId="582EB5FF" w14:textId="77777777" w:rsidR="003D2D00" w:rsidRPr="003D2D00" w:rsidRDefault="003D2D00" w:rsidP="003D2D00">
      <w:pPr>
        <w:ind w:left="720"/>
        <w:contextualSpacing/>
        <w:rPr>
          <w:rFonts w:eastAsia="Calibri" w:cs="Arial"/>
          <w:color w:val="FF0000"/>
          <w:szCs w:val="22"/>
        </w:rPr>
      </w:pPr>
    </w:p>
    <w:p w14:paraId="1308EB08" w14:textId="77777777" w:rsidR="003D2D00" w:rsidRPr="003D2D00" w:rsidRDefault="003D2D00" w:rsidP="003D2D00">
      <w:pPr>
        <w:numPr>
          <w:ilvl w:val="0"/>
          <w:numId w:val="22"/>
        </w:numPr>
        <w:shd w:val="clear" w:color="auto" w:fill="FFFFFF"/>
        <w:spacing w:after="160" w:line="259" w:lineRule="auto"/>
        <w:contextualSpacing/>
        <w:rPr>
          <w:rFonts w:cs="Arial"/>
          <w:color w:val="000000"/>
          <w:szCs w:val="22"/>
        </w:rPr>
      </w:pPr>
      <w:r w:rsidRPr="003D2D00">
        <w:rPr>
          <w:rFonts w:cs="Arial"/>
          <w:color w:val="000000"/>
          <w:szCs w:val="22"/>
          <w:shd w:val="clear" w:color="auto" w:fill="FFFFFF"/>
        </w:rPr>
        <w:t xml:space="preserve">Will you consider a phased-in approach </w:t>
      </w:r>
      <w:proofErr w:type="gramStart"/>
      <w:r w:rsidRPr="003D2D00">
        <w:rPr>
          <w:rFonts w:cs="Arial"/>
          <w:color w:val="000000"/>
          <w:szCs w:val="22"/>
          <w:shd w:val="clear" w:color="auto" w:fill="FFFFFF"/>
        </w:rPr>
        <w:t>as long as</w:t>
      </w:r>
      <w:proofErr w:type="gramEnd"/>
      <w:r w:rsidRPr="003D2D00">
        <w:rPr>
          <w:rFonts w:cs="Arial"/>
          <w:color w:val="000000"/>
          <w:szCs w:val="22"/>
          <w:shd w:val="clear" w:color="auto" w:fill="FFFFFF"/>
        </w:rPr>
        <w:t xml:space="preserve"> all activities are completed by end of project period?</w:t>
      </w:r>
    </w:p>
    <w:p w14:paraId="582D3AE4" w14:textId="77777777" w:rsidR="003D2D00" w:rsidRPr="003D2D00" w:rsidRDefault="003D2D00" w:rsidP="003D2D00">
      <w:pPr>
        <w:shd w:val="clear" w:color="auto" w:fill="FFFFFF"/>
        <w:ind w:left="720"/>
        <w:contextualSpacing/>
        <w:rPr>
          <w:rFonts w:cs="Arial"/>
          <w:color w:val="FF0000"/>
          <w:szCs w:val="22"/>
        </w:rPr>
      </w:pPr>
      <w:r w:rsidRPr="003D2D00">
        <w:rPr>
          <w:rFonts w:eastAsia="Calibri" w:cs="Arial"/>
          <w:color w:val="FF0000"/>
          <w:szCs w:val="22"/>
        </w:rPr>
        <w:t xml:space="preserve">Department Answer: </w:t>
      </w:r>
      <w:r w:rsidRPr="003D2D00">
        <w:rPr>
          <w:rFonts w:cs="Arial"/>
          <w:color w:val="FF0000"/>
          <w:szCs w:val="22"/>
        </w:rPr>
        <w:t xml:space="preserve">We will consider all responsive applications received in accordance with the requirements of the RFA. </w:t>
      </w:r>
    </w:p>
    <w:p w14:paraId="5A392461" w14:textId="77777777" w:rsidR="003D2D00" w:rsidRPr="003D2D00" w:rsidRDefault="003D2D00" w:rsidP="003D2D00">
      <w:pPr>
        <w:shd w:val="clear" w:color="auto" w:fill="FFFFFF"/>
        <w:ind w:left="720"/>
        <w:contextualSpacing/>
        <w:rPr>
          <w:rFonts w:cs="Arial"/>
          <w:color w:val="FF0000"/>
          <w:szCs w:val="22"/>
        </w:rPr>
      </w:pPr>
    </w:p>
    <w:p w14:paraId="5D357820" w14:textId="77777777" w:rsidR="003D2D00" w:rsidRPr="003D2D00" w:rsidRDefault="003D2D00" w:rsidP="003D2D00">
      <w:pPr>
        <w:numPr>
          <w:ilvl w:val="0"/>
          <w:numId w:val="22"/>
        </w:numPr>
        <w:shd w:val="clear" w:color="auto" w:fill="FFFFFF"/>
        <w:spacing w:after="160" w:line="259" w:lineRule="auto"/>
        <w:contextualSpacing/>
        <w:rPr>
          <w:rFonts w:cs="Arial"/>
          <w:color w:val="000000"/>
          <w:szCs w:val="22"/>
        </w:rPr>
      </w:pPr>
      <w:r w:rsidRPr="003D2D00">
        <w:rPr>
          <w:rFonts w:cs="Arial"/>
          <w:color w:val="000000"/>
          <w:szCs w:val="22"/>
          <w:shd w:val="clear" w:color="auto" w:fill="FFFFFF"/>
        </w:rPr>
        <w:t xml:space="preserve">Is </w:t>
      </w:r>
      <w:proofErr w:type="spellStart"/>
      <w:r w:rsidRPr="003D2D00">
        <w:rPr>
          <w:rFonts w:cs="Arial"/>
          <w:color w:val="000000"/>
          <w:szCs w:val="22"/>
          <w:shd w:val="clear" w:color="auto" w:fill="FFFFFF"/>
        </w:rPr>
        <w:t>Docusign</w:t>
      </w:r>
      <w:proofErr w:type="spellEnd"/>
      <w:r w:rsidRPr="003D2D00">
        <w:rPr>
          <w:rFonts w:cs="Arial"/>
          <w:color w:val="000000"/>
          <w:szCs w:val="22"/>
          <w:shd w:val="clear" w:color="auto" w:fill="FFFFFF"/>
        </w:rPr>
        <w:t xml:space="preserve"> allowed for required forms?</w:t>
      </w:r>
    </w:p>
    <w:p w14:paraId="674E4A20" w14:textId="77777777" w:rsidR="003D2D00" w:rsidRPr="003D2D00" w:rsidRDefault="003D2D00" w:rsidP="003D2D00">
      <w:pPr>
        <w:shd w:val="clear" w:color="auto" w:fill="FFFFFF"/>
        <w:ind w:left="720"/>
        <w:contextualSpacing/>
        <w:rPr>
          <w:rFonts w:cs="Arial"/>
          <w:color w:val="FF0000"/>
          <w:szCs w:val="22"/>
        </w:rPr>
      </w:pPr>
      <w:r w:rsidRPr="003D2D00">
        <w:rPr>
          <w:rFonts w:eastAsia="Calibri" w:cs="Arial"/>
          <w:color w:val="FF0000"/>
          <w:szCs w:val="22"/>
        </w:rPr>
        <w:t xml:space="preserve">Department Answer: </w:t>
      </w:r>
      <w:r w:rsidRPr="003D2D00">
        <w:rPr>
          <w:rFonts w:cs="Arial"/>
          <w:color w:val="FF0000"/>
          <w:szCs w:val="22"/>
          <w:shd w:val="clear" w:color="auto" w:fill="FFFFFF"/>
        </w:rPr>
        <w:t>Yes, DocuSign is an approved form of electronic signature.</w:t>
      </w:r>
    </w:p>
    <w:p w14:paraId="417E9A0C" w14:textId="77777777" w:rsidR="003D2D00" w:rsidRPr="003D2D00" w:rsidRDefault="003D2D00" w:rsidP="003D2D00">
      <w:pPr>
        <w:shd w:val="clear" w:color="auto" w:fill="FFFFFF"/>
        <w:ind w:left="720"/>
        <w:contextualSpacing/>
        <w:rPr>
          <w:rFonts w:cs="Arial"/>
          <w:color w:val="FF0000"/>
          <w:szCs w:val="22"/>
        </w:rPr>
      </w:pPr>
    </w:p>
    <w:p w14:paraId="30E891D5" w14:textId="77777777" w:rsidR="003D2D00" w:rsidRPr="003D2D00" w:rsidRDefault="003D2D00" w:rsidP="003D2D00">
      <w:pPr>
        <w:numPr>
          <w:ilvl w:val="0"/>
          <w:numId w:val="22"/>
        </w:numPr>
        <w:shd w:val="clear" w:color="auto" w:fill="FFFFFF"/>
        <w:spacing w:after="160" w:line="259" w:lineRule="auto"/>
        <w:contextualSpacing/>
        <w:rPr>
          <w:rFonts w:cs="Arial"/>
          <w:color w:val="000000"/>
          <w:szCs w:val="22"/>
          <w:shd w:val="clear" w:color="auto" w:fill="FFFFFF"/>
        </w:rPr>
      </w:pPr>
      <w:r w:rsidRPr="003D2D00">
        <w:rPr>
          <w:rFonts w:cs="Arial"/>
          <w:color w:val="000000"/>
          <w:szCs w:val="22"/>
          <w:shd w:val="clear" w:color="auto" w:fill="FFFFFF"/>
        </w:rPr>
        <w:t>Will a template for governmental agencies will be provided?</w:t>
      </w:r>
    </w:p>
    <w:p w14:paraId="652F5931" w14:textId="77777777" w:rsidR="003D2D00" w:rsidRPr="003D2D00" w:rsidRDefault="003D2D00" w:rsidP="003D2D00">
      <w:pPr>
        <w:shd w:val="clear" w:color="auto" w:fill="FFFFFF"/>
        <w:ind w:left="720"/>
        <w:contextualSpacing/>
        <w:rPr>
          <w:rFonts w:cs="Arial"/>
          <w:color w:val="FF0000"/>
          <w:szCs w:val="22"/>
          <w:shd w:val="clear" w:color="auto" w:fill="FFFFFF"/>
        </w:rPr>
      </w:pPr>
      <w:r w:rsidRPr="003D2D00">
        <w:rPr>
          <w:rFonts w:eastAsia="Calibri" w:cs="Arial"/>
          <w:color w:val="FF0000"/>
          <w:szCs w:val="22"/>
        </w:rPr>
        <w:t xml:space="preserve">Department Answer: </w:t>
      </w:r>
      <w:r w:rsidRPr="003D2D00">
        <w:rPr>
          <w:rFonts w:cs="Arial"/>
          <w:color w:val="FF0000"/>
          <w:szCs w:val="22"/>
          <w:shd w:val="clear" w:color="auto" w:fill="FFFFFF"/>
        </w:rPr>
        <w:t>No, a template for all required forms has been provided in the RFA 20-005.</w:t>
      </w:r>
    </w:p>
    <w:p w14:paraId="647D8B35" w14:textId="77777777" w:rsidR="003D2D00" w:rsidRPr="003D2D00" w:rsidRDefault="003D2D00" w:rsidP="003D2D00">
      <w:pPr>
        <w:shd w:val="clear" w:color="auto" w:fill="FFFFFF"/>
        <w:ind w:left="720"/>
        <w:contextualSpacing/>
        <w:rPr>
          <w:rFonts w:cs="Arial"/>
          <w:color w:val="FF0000"/>
          <w:szCs w:val="22"/>
          <w:shd w:val="clear" w:color="auto" w:fill="FFFFFF"/>
        </w:rPr>
      </w:pPr>
    </w:p>
    <w:p w14:paraId="3F526B5D" w14:textId="77777777" w:rsidR="003D2D00" w:rsidRPr="003D2D00" w:rsidRDefault="003D2D00" w:rsidP="003D2D00">
      <w:pPr>
        <w:numPr>
          <w:ilvl w:val="0"/>
          <w:numId w:val="22"/>
        </w:numPr>
        <w:shd w:val="clear" w:color="auto" w:fill="FFFFFF"/>
        <w:spacing w:before="100" w:beforeAutospacing="1" w:after="100" w:afterAutospacing="1" w:line="259" w:lineRule="auto"/>
        <w:contextualSpacing/>
        <w:rPr>
          <w:rFonts w:cs="Arial"/>
          <w:color w:val="000000"/>
          <w:szCs w:val="22"/>
        </w:rPr>
      </w:pPr>
      <w:r w:rsidRPr="003D2D00">
        <w:rPr>
          <w:rFonts w:cs="Arial"/>
          <w:color w:val="000000"/>
          <w:szCs w:val="22"/>
          <w:shd w:val="clear" w:color="auto" w:fill="FFFFFF"/>
        </w:rPr>
        <w:t xml:space="preserve">As an independent </w:t>
      </w:r>
      <w:proofErr w:type="spellStart"/>
      <w:r w:rsidRPr="003D2D00">
        <w:rPr>
          <w:rFonts w:cs="Arial"/>
          <w:color w:val="000000"/>
          <w:szCs w:val="22"/>
          <w:shd w:val="clear" w:color="auto" w:fill="FFFFFF"/>
        </w:rPr>
        <w:t>sp</w:t>
      </w:r>
      <w:proofErr w:type="spellEnd"/>
      <w:r w:rsidRPr="003D2D00">
        <w:rPr>
          <w:rFonts w:cs="Arial"/>
          <w:color w:val="000000"/>
          <w:szCs w:val="22"/>
          <w:shd w:val="clear" w:color="auto" w:fill="FFFFFF"/>
        </w:rPr>
        <w:t>​</w:t>
      </w:r>
      <w:proofErr w:type="spellStart"/>
      <w:r w:rsidRPr="003D2D00">
        <w:rPr>
          <w:rFonts w:cs="Arial"/>
          <w:color w:val="000000"/>
          <w:szCs w:val="22"/>
          <w:shd w:val="clear" w:color="auto" w:fill="FFFFFF"/>
        </w:rPr>
        <w:t>ecial</w:t>
      </w:r>
      <w:proofErr w:type="spellEnd"/>
      <w:r w:rsidRPr="003D2D00">
        <w:rPr>
          <w:rFonts w:cs="Arial"/>
          <w:color w:val="000000"/>
          <w:szCs w:val="22"/>
          <w:shd w:val="clear" w:color="auto" w:fill="FFFFFF"/>
        </w:rPr>
        <w:t xml:space="preserve"> taxing district, we are limited to section 768.28, F.S. Will contract modifications be allowed for indemnify, hold harmless, defend, indemnification and insurance clauses that exceed limits outlined by state code?</w:t>
      </w:r>
    </w:p>
    <w:p w14:paraId="57ED92F8" w14:textId="77777777" w:rsidR="003D2D00" w:rsidRPr="003D2D00" w:rsidRDefault="003D2D00" w:rsidP="003D2D00">
      <w:pPr>
        <w:ind w:left="720"/>
        <w:contextualSpacing/>
        <w:rPr>
          <w:rFonts w:eastAsia="Calibri" w:cs="Arial"/>
          <w:color w:val="FF0000"/>
          <w:szCs w:val="22"/>
        </w:rPr>
      </w:pPr>
      <w:r w:rsidRPr="003D2D00">
        <w:rPr>
          <w:rFonts w:eastAsia="Calibri" w:cs="Arial"/>
          <w:color w:val="FF0000"/>
          <w:szCs w:val="22"/>
        </w:rPr>
        <w:t>Department Answer: No, please see Sections I.E and I.F of the Standard Contract, pages 67-68.</w:t>
      </w:r>
    </w:p>
    <w:p w14:paraId="502C192C" w14:textId="77777777" w:rsidR="003D2D00" w:rsidRPr="003D2D00" w:rsidRDefault="003D2D00" w:rsidP="003D2D00">
      <w:pPr>
        <w:ind w:left="720"/>
        <w:contextualSpacing/>
        <w:rPr>
          <w:rFonts w:eastAsia="Calibri" w:cs="Arial"/>
          <w:color w:val="FF0000"/>
          <w:szCs w:val="22"/>
        </w:rPr>
      </w:pPr>
    </w:p>
    <w:p w14:paraId="46CE8819" w14:textId="77777777" w:rsidR="003D2D00" w:rsidRPr="003D2D00" w:rsidRDefault="003D2D00" w:rsidP="003D2D00">
      <w:pPr>
        <w:numPr>
          <w:ilvl w:val="0"/>
          <w:numId w:val="22"/>
        </w:numPr>
        <w:spacing w:after="160" w:line="259" w:lineRule="auto"/>
        <w:contextualSpacing/>
        <w:rPr>
          <w:rFonts w:eastAsia="Calibri" w:cs="Arial"/>
          <w:szCs w:val="22"/>
        </w:rPr>
      </w:pPr>
      <w:r w:rsidRPr="003D2D00">
        <w:rPr>
          <w:rFonts w:eastAsia="Calibri" w:cs="Arial"/>
          <w:szCs w:val="22"/>
        </w:rPr>
        <w:t>Can we get the following documents sent to us in workable formats like excel: Attachment 3 Budget Summary, Attachment 4 Budget Narrative, and Attachment 5 Personnel Form?</w:t>
      </w:r>
    </w:p>
    <w:p w14:paraId="7C47FC1F" w14:textId="77777777" w:rsidR="003D2D00" w:rsidRPr="003D2D00" w:rsidRDefault="003D2D00" w:rsidP="003D2D00">
      <w:pPr>
        <w:spacing w:after="160"/>
        <w:ind w:left="720"/>
        <w:contextualSpacing/>
        <w:rPr>
          <w:rFonts w:eastAsia="Calibri" w:cs="Arial"/>
          <w:color w:val="FF0000"/>
          <w:szCs w:val="22"/>
        </w:rPr>
      </w:pPr>
      <w:r w:rsidRPr="003D2D00">
        <w:rPr>
          <w:rFonts w:eastAsia="Calibri" w:cs="Arial"/>
          <w:color w:val="FF0000"/>
          <w:szCs w:val="22"/>
        </w:rPr>
        <w:t>Department Answer: Yes, please access the links below:</w:t>
      </w:r>
    </w:p>
    <w:bookmarkStart w:id="2" w:name="_Hlk64359270"/>
    <w:p w14:paraId="70A037AE" w14:textId="77777777" w:rsidR="003D2D00" w:rsidRPr="003D2D00" w:rsidRDefault="003D2D00" w:rsidP="003D2D00">
      <w:pPr>
        <w:spacing w:after="160"/>
        <w:rPr>
          <w:rFonts w:eastAsia="Calibri" w:cs="Arial"/>
          <w:szCs w:val="22"/>
        </w:rPr>
      </w:pPr>
      <w:r w:rsidRPr="003D2D00">
        <w:rPr>
          <w:rFonts w:eastAsia="Calibri" w:cs="Arial"/>
          <w:szCs w:val="22"/>
        </w:rPr>
        <w:object w:dxaOrig="1543" w:dyaOrig="995" w14:anchorId="3D59D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4" o:title=""/>
          </v:shape>
          <o:OLEObject Type="Embed" ProgID="Excel.Sheet.8" ShapeID="_x0000_i1025" DrawAspect="Icon" ObjectID="_1675510337" r:id="rId25"/>
        </w:object>
      </w:r>
      <w:r w:rsidRPr="003D2D00">
        <w:rPr>
          <w:rFonts w:eastAsia="Calibri" w:cs="Arial"/>
          <w:szCs w:val="22"/>
        </w:rPr>
        <w:object w:dxaOrig="1469" w:dyaOrig="950" w14:anchorId="3A2AD797">
          <v:shape id="_x0000_i1026" type="#_x0000_t75" style="width:75pt;height:48pt" o:ole="">
            <v:imagedata r:id="rId26" o:title=""/>
          </v:shape>
          <o:OLEObject Type="Embed" ProgID="Excel.Sheet.12" ShapeID="_x0000_i1026" DrawAspect="Icon" ObjectID="_1675510338" r:id="rId27"/>
        </w:object>
      </w:r>
      <w:r w:rsidRPr="003D2D00">
        <w:rPr>
          <w:rFonts w:eastAsia="Calibri" w:cs="Arial"/>
          <w:szCs w:val="22"/>
        </w:rPr>
        <w:object w:dxaOrig="1469" w:dyaOrig="950" w14:anchorId="189D9626">
          <v:shape id="_x0000_i1027" type="#_x0000_t75" style="width:75pt;height:48pt" o:ole="">
            <v:imagedata r:id="rId28" o:title=""/>
          </v:shape>
          <o:OLEObject Type="Embed" ProgID="Excel.Sheet.12" ShapeID="_x0000_i1027" DrawAspect="Icon" ObjectID="_1675510339" r:id="rId29"/>
        </w:object>
      </w:r>
    </w:p>
    <w:bookmarkEnd w:id="2"/>
    <w:p w14:paraId="4D850951" w14:textId="77777777" w:rsidR="003D2D00" w:rsidRPr="003D2D00" w:rsidRDefault="003D2D00" w:rsidP="003D2D00">
      <w:pPr>
        <w:numPr>
          <w:ilvl w:val="0"/>
          <w:numId w:val="22"/>
        </w:numPr>
        <w:spacing w:after="160" w:line="259" w:lineRule="auto"/>
        <w:contextualSpacing/>
        <w:rPr>
          <w:rFonts w:eastAsia="Calibri" w:cs="Arial"/>
          <w:szCs w:val="22"/>
        </w:rPr>
      </w:pPr>
      <w:r w:rsidRPr="003D2D00">
        <w:rPr>
          <w:rFonts w:eastAsia="Calibri" w:cs="Arial"/>
          <w:szCs w:val="22"/>
        </w:rPr>
        <w:t>Is there a limit to the number of priority areas an entity can address?</w:t>
      </w:r>
    </w:p>
    <w:p w14:paraId="03C3530E" w14:textId="70426F81" w:rsidR="003D2D00" w:rsidRDefault="003D2D00" w:rsidP="003D2D00">
      <w:pPr>
        <w:ind w:left="720"/>
        <w:contextualSpacing/>
        <w:rPr>
          <w:rFonts w:eastAsia="Calibri" w:cs="Arial"/>
          <w:color w:val="FF0000"/>
          <w:szCs w:val="22"/>
        </w:rPr>
      </w:pPr>
      <w:r w:rsidRPr="003D2D00">
        <w:rPr>
          <w:rFonts w:eastAsia="Calibri" w:cs="Arial"/>
          <w:color w:val="FF0000"/>
          <w:szCs w:val="22"/>
        </w:rPr>
        <w:t>Department Answer: No.</w:t>
      </w:r>
    </w:p>
    <w:p w14:paraId="3FBCA9B7" w14:textId="77777777" w:rsidR="003D2D00" w:rsidRPr="003D2D00" w:rsidRDefault="003D2D00" w:rsidP="003D2D00">
      <w:pPr>
        <w:ind w:left="720"/>
        <w:contextualSpacing/>
        <w:rPr>
          <w:rFonts w:eastAsia="Calibri" w:cs="Arial"/>
          <w:color w:val="FF0000"/>
          <w:szCs w:val="22"/>
        </w:rPr>
      </w:pPr>
    </w:p>
    <w:p w14:paraId="7755DF67" w14:textId="77777777" w:rsidR="003D2D00" w:rsidRPr="003D2D00" w:rsidRDefault="003D2D00" w:rsidP="003D2D00">
      <w:pPr>
        <w:ind w:left="720"/>
        <w:contextualSpacing/>
        <w:rPr>
          <w:rFonts w:eastAsia="Calibri" w:cs="Arial"/>
          <w:color w:val="FF0000"/>
          <w:szCs w:val="22"/>
        </w:rPr>
      </w:pPr>
    </w:p>
    <w:p w14:paraId="34686FC6"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lastRenderedPageBreak/>
        <w:t xml:space="preserve">Are county health departments required to provide a cash match? </w:t>
      </w:r>
    </w:p>
    <w:p w14:paraId="2594D46D" w14:textId="77777777" w:rsidR="003D2D00" w:rsidRPr="003D2D00" w:rsidRDefault="003D2D00" w:rsidP="003D2D00">
      <w:pPr>
        <w:ind w:left="720"/>
        <w:rPr>
          <w:rFonts w:cs="Arial"/>
          <w:color w:val="FF0000"/>
          <w:szCs w:val="22"/>
        </w:rPr>
      </w:pPr>
      <w:r w:rsidRPr="003D2D00">
        <w:rPr>
          <w:rFonts w:eastAsia="Calibri" w:cs="Arial"/>
          <w:color w:val="FF0000"/>
          <w:szCs w:val="22"/>
        </w:rPr>
        <w:t xml:space="preserve">Department Answer: </w:t>
      </w:r>
      <w:r w:rsidRPr="003D2D00">
        <w:rPr>
          <w:rFonts w:cs="Arial"/>
          <w:color w:val="FF0000"/>
          <w:szCs w:val="22"/>
        </w:rPr>
        <w:t>No, CHDs are not.</w:t>
      </w:r>
    </w:p>
    <w:p w14:paraId="59A616BD" w14:textId="77777777" w:rsidR="003D2D00" w:rsidRPr="003D2D00" w:rsidRDefault="003D2D00" w:rsidP="003D2D00">
      <w:pPr>
        <w:ind w:left="720"/>
        <w:rPr>
          <w:rFonts w:cs="Arial"/>
          <w:color w:val="FF0000"/>
          <w:szCs w:val="22"/>
        </w:rPr>
      </w:pPr>
    </w:p>
    <w:p w14:paraId="53C332E4"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Is an in-kind match in the form of DOH staff time acceptable if staff are funded from state funds?</w:t>
      </w:r>
    </w:p>
    <w:p w14:paraId="028433B1" w14:textId="77777777" w:rsidR="003D2D00" w:rsidRPr="003D2D00" w:rsidRDefault="003D2D00" w:rsidP="003D2D00">
      <w:pPr>
        <w:ind w:left="720"/>
        <w:contextualSpacing/>
        <w:rPr>
          <w:rFonts w:cs="Arial"/>
          <w:color w:val="FF0000"/>
          <w:szCs w:val="22"/>
        </w:rPr>
      </w:pPr>
      <w:r w:rsidRPr="003D2D00">
        <w:rPr>
          <w:rFonts w:eastAsia="Calibri" w:cs="Arial"/>
          <w:color w:val="FF0000"/>
          <w:szCs w:val="22"/>
        </w:rPr>
        <w:t xml:space="preserve">Department Answer: </w:t>
      </w:r>
      <w:r w:rsidRPr="003D2D00">
        <w:rPr>
          <w:rFonts w:cs="Arial"/>
          <w:color w:val="FF0000"/>
          <w:szCs w:val="22"/>
        </w:rPr>
        <w:t>Yes.</w:t>
      </w:r>
    </w:p>
    <w:p w14:paraId="24BFBF21" w14:textId="77777777" w:rsidR="003D2D00" w:rsidRPr="003D2D00" w:rsidRDefault="003D2D00" w:rsidP="003D2D00">
      <w:pPr>
        <w:rPr>
          <w:rFonts w:cs="Arial"/>
          <w:szCs w:val="22"/>
        </w:rPr>
      </w:pPr>
    </w:p>
    <w:p w14:paraId="750B6EB7" w14:textId="77777777" w:rsidR="00DB1593" w:rsidRPr="00BE4C32" w:rsidRDefault="003D2D00" w:rsidP="00DB1593">
      <w:pPr>
        <w:pStyle w:val="ListParagraph"/>
        <w:numPr>
          <w:ilvl w:val="0"/>
          <w:numId w:val="22"/>
        </w:numPr>
        <w:rPr>
          <w:rFonts w:cs="Arial"/>
        </w:rPr>
      </w:pPr>
      <w:r w:rsidRPr="003D2D00">
        <w:rPr>
          <w:rFonts w:cs="Arial"/>
          <w:szCs w:val="22"/>
        </w:rPr>
        <w:t xml:space="preserve"> </w:t>
      </w:r>
      <w:r w:rsidR="00DB1593" w:rsidRPr="00BE4C32">
        <w:rPr>
          <w:rFonts w:cs="Arial"/>
        </w:rPr>
        <w:t>Will a fillable budget template (PDF document) be provided for the budget? Or should applicants use the template as a guide for creating the budget document?</w:t>
      </w:r>
    </w:p>
    <w:p w14:paraId="52A34F33" w14:textId="6F162ACA" w:rsidR="00DB1593" w:rsidRDefault="009C4792" w:rsidP="009C4792">
      <w:pPr>
        <w:pStyle w:val="ListParagraph"/>
        <w:contextualSpacing w:val="0"/>
        <w:rPr>
          <w:rFonts w:cs="Arial"/>
          <w:color w:val="FF0000"/>
        </w:rPr>
      </w:pPr>
      <w:r>
        <w:rPr>
          <w:rFonts w:cs="Arial"/>
          <w:color w:val="FF0000"/>
        </w:rPr>
        <w:t xml:space="preserve">Department Answer: </w:t>
      </w:r>
      <w:bookmarkStart w:id="3" w:name="_Hlk64894048"/>
      <w:r w:rsidR="00DB1593" w:rsidRPr="00BE4C32">
        <w:rPr>
          <w:rFonts w:cs="Arial"/>
          <w:color w:val="FF0000"/>
        </w:rPr>
        <w:t xml:space="preserve">Yes, please </w:t>
      </w:r>
      <w:r w:rsidR="00DB1593">
        <w:rPr>
          <w:rFonts w:cs="Arial"/>
          <w:color w:val="FF0000"/>
        </w:rPr>
        <w:t>refer to question 18 to access a fillable budget template.</w:t>
      </w:r>
      <w:bookmarkEnd w:id="3"/>
    </w:p>
    <w:p w14:paraId="3DF0568D" w14:textId="77777777" w:rsidR="00DB1593" w:rsidRPr="00BE4C32" w:rsidRDefault="00DB1593" w:rsidP="00DB1593">
      <w:pPr>
        <w:pStyle w:val="ListParagraph"/>
        <w:contextualSpacing w:val="0"/>
        <w:rPr>
          <w:rFonts w:cs="Arial"/>
          <w:color w:val="FF0000"/>
        </w:rPr>
      </w:pPr>
    </w:p>
    <w:p w14:paraId="6B1426CF" w14:textId="0C931E4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We are currently using our own tool (based on a validated Centers for Medicaid and Medicare patient screening tool) to assess and refer clients for social determinants of health, for a project currently funded by Closing the Gap. Can a modified version of PRAPARE (an EBI) be considered an evidence-based intervention for the purpose of this grant (which ask about the same types of social needs), or do we need to use the exact PRAPARE tool?</w:t>
      </w:r>
    </w:p>
    <w:p w14:paraId="7F21D186" w14:textId="77777777" w:rsidR="003D2D00" w:rsidRPr="003D2D00" w:rsidRDefault="003D2D00" w:rsidP="003D2D00">
      <w:pPr>
        <w:ind w:left="720"/>
        <w:rPr>
          <w:rFonts w:cs="Arial"/>
          <w:color w:val="FF0000"/>
          <w:szCs w:val="22"/>
        </w:rPr>
      </w:pPr>
      <w:r w:rsidRPr="003D2D00">
        <w:rPr>
          <w:rFonts w:eastAsia="Calibri" w:cs="Arial"/>
          <w:color w:val="FF0000"/>
          <w:szCs w:val="22"/>
        </w:rPr>
        <w:t xml:space="preserve">Department Answer: Yes, </w:t>
      </w:r>
      <w:r w:rsidRPr="003D2D00">
        <w:rPr>
          <w:rFonts w:cs="Arial"/>
          <w:color w:val="FF0000"/>
          <w:szCs w:val="22"/>
        </w:rPr>
        <w:t xml:space="preserve">you may use the modified version in addressing the assessments and referrals in your application. </w:t>
      </w:r>
    </w:p>
    <w:p w14:paraId="4F700B79" w14:textId="77777777" w:rsidR="003D2D00" w:rsidRPr="003D2D00" w:rsidRDefault="003D2D00" w:rsidP="003D2D00">
      <w:pPr>
        <w:ind w:left="720"/>
        <w:rPr>
          <w:rFonts w:cs="Arial"/>
          <w:color w:val="FF0000"/>
          <w:szCs w:val="22"/>
        </w:rPr>
      </w:pPr>
    </w:p>
    <w:p w14:paraId="1874FC4C"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Do we need to complete the actual SDOH assessment more than once for each client (Such as a 3 - 6-month follow-up)? If so, do we track these separately, since these assessments will be for previously served clients.</w:t>
      </w:r>
    </w:p>
    <w:p w14:paraId="5AFFB332" w14:textId="77777777" w:rsidR="003D2D00" w:rsidRPr="003D2D00" w:rsidRDefault="003D2D00" w:rsidP="003D2D00">
      <w:pPr>
        <w:ind w:left="720"/>
        <w:rPr>
          <w:rFonts w:cs="Arial"/>
          <w:color w:val="FF0000"/>
          <w:szCs w:val="22"/>
        </w:rPr>
      </w:pPr>
      <w:r w:rsidRPr="003D2D00">
        <w:rPr>
          <w:rFonts w:eastAsia="Calibri" w:cs="Arial"/>
          <w:color w:val="FF0000"/>
          <w:szCs w:val="22"/>
        </w:rPr>
        <w:t xml:space="preserve">Department Answer: </w:t>
      </w:r>
      <w:r w:rsidRPr="003D2D00">
        <w:rPr>
          <w:rFonts w:cs="Arial"/>
          <w:color w:val="FF0000"/>
          <w:szCs w:val="22"/>
        </w:rPr>
        <w:t xml:space="preserve">Yes, please see Attachment 11. </w:t>
      </w:r>
    </w:p>
    <w:p w14:paraId="1E8A58DD" w14:textId="77777777" w:rsidR="003D2D00" w:rsidRPr="003D2D00" w:rsidRDefault="003D2D00" w:rsidP="003D2D00">
      <w:pPr>
        <w:ind w:left="720"/>
        <w:rPr>
          <w:rFonts w:cs="Arial"/>
          <w:color w:val="FF0000"/>
          <w:szCs w:val="22"/>
        </w:rPr>
      </w:pPr>
    </w:p>
    <w:p w14:paraId="3C7FC5A4"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Are new partners defined as partners who are new to the agency, or new to the proposed project?</w:t>
      </w:r>
    </w:p>
    <w:p w14:paraId="0CCDF6A1" w14:textId="77777777" w:rsidR="003D2D00" w:rsidRPr="003D2D00" w:rsidRDefault="003D2D00" w:rsidP="003D2D00">
      <w:pPr>
        <w:ind w:left="720"/>
        <w:rPr>
          <w:rFonts w:cs="Arial"/>
          <w:color w:val="FF0000"/>
          <w:szCs w:val="22"/>
        </w:rPr>
      </w:pPr>
      <w:r w:rsidRPr="003D2D00">
        <w:rPr>
          <w:rFonts w:cs="Arial"/>
          <w:color w:val="FF0000"/>
          <w:szCs w:val="22"/>
        </w:rPr>
        <w:t xml:space="preserve">Department Answer: New to the agency. </w:t>
      </w:r>
    </w:p>
    <w:p w14:paraId="547B2DFE" w14:textId="77777777" w:rsidR="003D2D00" w:rsidRPr="003D2D00" w:rsidRDefault="003D2D00" w:rsidP="003D2D00">
      <w:pPr>
        <w:ind w:left="720"/>
        <w:rPr>
          <w:rFonts w:cs="Arial"/>
          <w:color w:val="FF0000"/>
          <w:szCs w:val="22"/>
        </w:rPr>
      </w:pPr>
    </w:p>
    <w:p w14:paraId="14A04942" w14:textId="77777777" w:rsidR="003D2D00" w:rsidRPr="003D2D00" w:rsidRDefault="003D2D00" w:rsidP="003D2D00">
      <w:pPr>
        <w:numPr>
          <w:ilvl w:val="0"/>
          <w:numId w:val="22"/>
        </w:numPr>
        <w:spacing w:after="160" w:line="259" w:lineRule="auto"/>
        <w:contextualSpacing/>
        <w:rPr>
          <w:rFonts w:eastAsia="Calibri" w:cs="Arial"/>
          <w:szCs w:val="22"/>
        </w:rPr>
      </w:pPr>
      <w:r w:rsidRPr="003D2D00">
        <w:rPr>
          <w:rFonts w:eastAsia="Calibri" w:cs="Arial"/>
          <w:szCs w:val="22"/>
        </w:rPr>
        <w:t xml:space="preserve">Can you please provide a list of programs by county funded through the Closing the Gap grant for the last three years? Thank you. </w:t>
      </w:r>
    </w:p>
    <w:p w14:paraId="4023E716" w14:textId="77777777" w:rsidR="003D2D00" w:rsidRDefault="003D2D00" w:rsidP="003D2D00">
      <w:pPr>
        <w:spacing w:after="160"/>
        <w:ind w:left="720"/>
        <w:contextualSpacing/>
        <w:rPr>
          <w:rFonts w:eastAsia="Calibri" w:cs="Arial"/>
          <w:color w:val="FF0000"/>
          <w:szCs w:val="22"/>
        </w:rPr>
      </w:pPr>
      <w:r w:rsidRPr="003D2D00">
        <w:rPr>
          <w:rFonts w:cs="Arial"/>
          <w:color w:val="FF0000"/>
          <w:szCs w:val="22"/>
        </w:rPr>
        <w:t xml:space="preserve">Department Answer: </w:t>
      </w:r>
      <w:r w:rsidRPr="003D2D00">
        <w:rPr>
          <w:rFonts w:eastAsia="Calibri" w:cs="Arial"/>
          <w:color w:val="FF0000"/>
          <w:szCs w:val="22"/>
        </w:rPr>
        <w:t>Yes, you may access list using the link below:</w:t>
      </w:r>
    </w:p>
    <w:p w14:paraId="6427369A" w14:textId="135AB2F4" w:rsidR="003D2D00" w:rsidRPr="003D2D00" w:rsidRDefault="003D2D00" w:rsidP="003D2D00">
      <w:pPr>
        <w:spacing w:after="160"/>
        <w:ind w:left="720"/>
        <w:contextualSpacing/>
        <w:rPr>
          <w:rFonts w:eastAsia="Calibri" w:cs="Arial"/>
          <w:color w:val="FF0000"/>
          <w:szCs w:val="22"/>
        </w:rPr>
      </w:pPr>
      <w:r w:rsidRPr="003D2D00">
        <w:rPr>
          <w:rFonts w:eastAsia="Calibri" w:cs="Arial"/>
          <w:color w:val="FF0000"/>
          <w:szCs w:val="22"/>
        </w:rPr>
        <w:t xml:space="preserve"> </w:t>
      </w:r>
      <w:bookmarkStart w:id="4" w:name="_MON_1675242122"/>
      <w:bookmarkEnd w:id="4"/>
      <w:r w:rsidRPr="003D2D00">
        <w:rPr>
          <w:rFonts w:eastAsia="Calibri" w:cs="Arial"/>
          <w:color w:val="FF0000"/>
          <w:szCs w:val="22"/>
        </w:rPr>
        <w:object w:dxaOrig="1543" w:dyaOrig="995" w14:anchorId="571D1FD3">
          <v:shape id="_x0000_i1028" type="#_x0000_t75" style="width:77.25pt;height:49.5pt" o:ole="">
            <v:imagedata r:id="rId30" o:title=""/>
          </v:shape>
          <o:OLEObject Type="Embed" ProgID="Word.Document.12" ShapeID="_x0000_i1028" DrawAspect="Icon" ObjectID="_1675510340" r:id="rId31">
            <o:FieldCodes>\s</o:FieldCodes>
          </o:OLEObject>
        </w:object>
      </w:r>
    </w:p>
    <w:p w14:paraId="4F6692AD" w14:textId="77777777" w:rsidR="003D2D00" w:rsidRPr="003D2D00" w:rsidRDefault="003D2D00" w:rsidP="003D2D00">
      <w:pPr>
        <w:spacing w:after="160"/>
        <w:ind w:left="720"/>
        <w:contextualSpacing/>
        <w:rPr>
          <w:rFonts w:ascii="Calibri" w:eastAsia="Calibri" w:hAnsi="Calibri"/>
          <w:szCs w:val="22"/>
        </w:rPr>
      </w:pPr>
    </w:p>
    <w:p w14:paraId="2D15E3CB"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Page 24 of the RFA states that the verification of 501(c)(3) status must be no more than one page.  Our letter from the IRS was signed at the top of page 2.  Is attachment of only the first page acceptable, even without the signature?  If not, please advise.</w:t>
      </w:r>
    </w:p>
    <w:p w14:paraId="3BD0C0A2" w14:textId="77777777" w:rsidR="003D2D00" w:rsidRPr="003D2D00" w:rsidRDefault="003D2D00" w:rsidP="003D2D00">
      <w:pPr>
        <w:ind w:left="720"/>
        <w:contextualSpacing/>
        <w:rPr>
          <w:rFonts w:cs="Arial"/>
          <w:color w:val="FF0000"/>
          <w:szCs w:val="22"/>
        </w:rPr>
      </w:pPr>
      <w:r w:rsidRPr="003D2D00">
        <w:rPr>
          <w:rFonts w:cs="Arial"/>
          <w:color w:val="FF0000"/>
          <w:szCs w:val="22"/>
        </w:rPr>
        <w:t>Department Answer: No, in this case you may attach both pages.</w:t>
      </w:r>
    </w:p>
    <w:p w14:paraId="527AD12E" w14:textId="77777777" w:rsidR="003D2D00" w:rsidRPr="003D2D00" w:rsidRDefault="003D2D00" w:rsidP="003D2D00">
      <w:pPr>
        <w:rPr>
          <w:rFonts w:cs="Arial"/>
          <w:szCs w:val="22"/>
        </w:rPr>
      </w:pPr>
    </w:p>
    <w:p w14:paraId="4CB7B2BE"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The same page in the RFA notes that applications must include a letter from the county health department "outlining any partnerships, referral agreements, and collaborations on the CHD’s Community’s Health Improvement Plan (CHIP). Letters should be signed by the CHD.”  Is our existing and recent letter acceptable, or do we need to get a letter that specifically names this grant opportunity?</w:t>
      </w:r>
    </w:p>
    <w:p w14:paraId="3E51057B" w14:textId="522E4CAD" w:rsidR="003D2D00" w:rsidRDefault="003D2D00" w:rsidP="003D2D00">
      <w:pPr>
        <w:ind w:left="720"/>
        <w:contextualSpacing/>
        <w:rPr>
          <w:rFonts w:cs="Arial"/>
          <w:color w:val="FF0000"/>
          <w:szCs w:val="22"/>
        </w:rPr>
      </w:pPr>
      <w:r w:rsidRPr="003D2D00">
        <w:rPr>
          <w:rFonts w:cs="Arial"/>
          <w:color w:val="FF0000"/>
          <w:szCs w:val="22"/>
        </w:rPr>
        <w:t>Department Answer: Yes, the existing letter of agreement with your local health department is acceptable.</w:t>
      </w:r>
    </w:p>
    <w:p w14:paraId="554066BB" w14:textId="22B204A1" w:rsidR="00DB1593" w:rsidRDefault="00DB1593" w:rsidP="003D2D00">
      <w:pPr>
        <w:ind w:left="720"/>
        <w:contextualSpacing/>
        <w:rPr>
          <w:rFonts w:cs="Arial"/>
          <w:color w:val="FF0000"/>
          <w:szCs w:val="22"/>
        </w:rPr>
      </w:pPr>
    </w:p>
    <w:p w14:paraId="22684F29" w14:textId="77777777" w:rsidR="00DB1593" w:rsidRPr="003D2D00" w:rsidRDefault="00DB1593" w:rsidP="003D2D00">
      <w:pPr>
        <w:ind w:left="720"/>
        <w:contextualSpacing/>
        <w:rPr>
          <w:rFonts w:cs="Arial"/>
          <w:szCs w:val="22"/>
        </w:rPr>
      </w:pPr>
    </w:p>
    <w:p w14:paraId="454C0D16" w14:textId="77777777" w:rsidR="003D2D00" w:rsidRPr="003D2D00" w:rsidRDefault="003D2D00" w:rsidP="003D2D00">
      <w:pPr>
        <w:rPr>
          <w:rFonts w:cs="Arial"/>
          <w:szCs w:val="22"/>
        </w:rPr>
      </w:pPr>
    </w:p>
    <w:p w14:paraId="119ED0D3"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lastRenderedPageBreak/>
        <w:t>Page 12 of the FRA states that "The provision of medical or clinical services are not permitted with this funding." Based on this, please help us reconcile Page 42 of the RFA which states that services may include </w:t>
      </w:r>
    </w:p>
    <w:p w14:paraId="14BDDB3D" w14:textId="77777777" w:rsidR="003D2D00" w:rsidRPr="003D2D00" w:rsidRDefault="003D2D00" w:rsidP="003D2D00">
      <w:pPr>
        <w:rPr>
          <w:rFonts w:cs="Arial"/>
          <w:szCs w:val="22"/>
        </w:rPr>
      </w:pPr>
      <w:r w:rsidRPr="003D2D00">
        <w:rPr>
          <w:rFonts w:cs="Arial"/>
          <w:szCs w:val="22"/>
        </w:rPr>
        <w:tab/>
        <w:t>• PrEP Screening, Referrals, and/or Provision</w:t>
      </w:r>
    </w:p>
    <w:p w14:paraId="5290698F" w14:textId="77777777" w:rsidR="003D2D00" w:rsidRPr="003D2D00" w:rsidRDefault="003D2D00" w:rsidP="003D2D00">
      <w:pPr>
        <w:rPr>
          <w:rFonts w:cs="Arial"/>
          <w:szCs w:val="22"/>
        </w:rPr>
      </w:pPr>
      <w:r w:rsidRPr="003D2D00">
        <w:rPr>
          <w:rFonts w:cs="Arial"/>
          <w:szCs w:val="22"/>
        </w:rPr>
        <w:tab/>
        <w:t>• nPEP Screening, Referrals, and/or Provision</w:t>
      </w:r>
    </w:p>
    <w:p w14:paraId="092E67D9" w14:textId="77777777" w:rsidR="003D2D00" w:rsidRPr="003D2D00" w:rsidRDefault="003D2D00" w:rsidP="003D2D00">
      <w:pPr>
        <w:ind w:left="720"/>
        <w:contextualSpacing/>
        <w:rPr>
          <w:rFonts w:cs="Arial"/>
          <w:color w:val="FF0000"/>
          <w:szCs w:val="22"/>
        </w:rPr>
      </w:pPr>
      <w:r w:rsidRPr="003D2D00">
        <w:rPr>
          <w:rFonts w:cs="Arial"/>
          <w:color w:val="FF0000"/>
          <w:szCs w:val="22"/>
        </w:rPr>
        <w:t xml:space="preserve">Department Answer: Screenings and referrals for PrEP and nPEP are permitted. </w:t>
      </w:r>
    </w:p>
    <w:p w14:paraId="54529B97" w14:textId="77777777" w:rsidR="003D2D00" w:rsidRPr="003D2D00" w:rsidRDefault="003D2D00" w:rsidP="003D2D00">
      <w:pPr>
        <w:ind w:left="720"/>
        <w:contextualSpacing/>
        <w:rPr>
          <w:rFonts w:cs="Arial"/>
          <w:color w:val="FF0000"/>
          <w:szCs w:val="22"/>
        </w:rPr>
      </w:pPr>
    </w:p>
    <w:p w14:paraId="0027CCB2"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 xml:space="preserve">Are we correct in assuming that OMHHE is defining “clinical” as the </w:t>
      </w:r>
      <w:r w:rsidRPr="003D2D00">
        <w:rPr>
          <w:rFonts w:cs="Arial"/>
          <w:szCs w:val="22"/>
          <w:u w:val="single"/>
        </w:rPr>
        <w:t>treatment of a disease</w:t>
      </w:r>
      <w:r w:rsidRPr="003D2D00">
        <w:rPr>
          <w:rFonts w:cs="Arial"/>
          <w:szCs w:val="22"/>
        </w:rPr>
        <w:t xml:space="preserve">, and that advanced nurse practitioners can be funded under this RFA to prescribe PrEP and nPEP as these are </w:t>
      </w:r>
      <w:r w:rsidRPr="003D2D00">
        <w:rPr>
          <w:rFonts w:cs="Arial"/>
          <w:szCs w:val="22"/>
          <w:u w:val="single"/>
        </w:rPr>
        <w:t>preventive?</w:t>
      </w:r>
      <w:r w:rsidRPr="003D2D00">
        <w:rPr>
          <w:rFonts w:cs="Arial"/>
          <w:szCs w:val="22"/>
        </w:rPr>
        <w:t xml:space="preserve"> Or does “provision” refer to something else?  If so, what?</w:t>
      </w:r>
    </w:p>
    <w:p w14:paraId="11E47E2A" w14:textId="77777777" w:rsidR="003D2D00" w:rsidRPr="003D2D00" w:rsidRDefault="003D2D00" w:rsidP="003D2D00">
      <w:pPr>
        <w:ind w:left="720"/>
        <w:contextualSpacing/>
        <w:rPr>
          <w:rFonts w:cs="Arial"/>
          <w:color w:val="FF0000"/>
          <w:szCs w:val="22"/>
        </w:rPr>
      </w:pPr>
      <w:r w:rsidRPr="003D2D00">
        <w:rPr>
          <w:rFonts w:cs="Arial"/>
          <w:color w:val="FF0000"/>
          <w:szCs w:val="22"/>
        </w:rPr>
        <w:t xml:space="preserve">Department Answer: No, the provision of medical or clinical services are not permitted with this funding, including those provided by advanced nurse practitioners. </w:t>
      </w:r>
    </w:p>
    <w:p w14:paraId="05C8DF43" w14:textId="77777777" w:rsidR="003D2D00" w:rsidRPr="003D2D00" w:rsidRDefault="003D2D00" w:rsidP="003D2D00">
      <w:pPr>
        <w:rPr>
          <w:rFonts w:cs="Arial"/>
          <w:szCs w:val="22"/>
        </w:rPr>
      </w:pPr>
    </w:p>
    <w:p w14:paraId="0629D28F"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Similarly, also referencing page 42 as "Referral and navigation to screening and treatment for STIs” is listed as an Evidence Based Intervention, are the costs of STI treatment allowable (either with grant funds, or qualifying as matching funds?</w:t>
      </w:r>
    </w:p>
    <w:p w14:paraId="0D7F6CFC" w14:textId="77777777" w:rsidR="003D2D00" w:rsidRPr="003D2D00" w:rsidRDefault="003D2D00" w:rsidP="003D2D00">
      <w:pPr>
        <w:ind w:left="720"/>
        <w:rPr>
          <w:rFonts w:cs="Arial"/>
          <w:color w:val="FF0000"/>
          <w:szCs w:val="22"/>
        </w:rPr>
      </w:pPr>
      <w:r w:rsidRPr="003D2D00">
        <w:rPr>
          <w:rFonts w:cs="Arial"/>
          <w:color w:val="FF0000"/>
          <w:szCs w:val="22"/>
        </w:rPr>
        <w:t>Department Answer: The provision of medical or clinical services are not permitted with this funding. The cost of STI treatment are not allowed. However, referrals or qualifying match funds for these services are permitted.</w:t>
      </w:r>
    </w:p>
    <w:p w14:paraId="6C84AB95" w14:textId="77777777" w:rsidR="003D2D00" w:rsidRPr="003D2D00" w:rsidRDefault="003D2D00" w:rsidP="003D2D00">
      <w:pPr>
        <w:rPr>
          <w:rFonts w:cs="Arial"/>
          <w:szCs w:val="22"/>
        </w:rPr>
      </w:pPr>
    </w:p>
    <w:p w14:paraId="38B773B0"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Can OMHHE distribute the ATTACHMENT 1 Cover page in a Word doc, for easier completion?</w:t>
      </w:r>
    </w:p>
    <w:p w14:paraId="70DDFD07" w14:textId="77777777" w:rsidR="003D2D00" w:rsidRPr="003D2D00" w:rsidRDefault="003D2D00" w:rsidP="003D2D00">
      <w:pPr>
        <w:ind w:left="720"/>
        <w:contextualSpacing/>
        <w:rPr>
          <w:rFonts w:cs="Arial"/>
          <w:color w:val="FF0000"/>
          <w:szCs w:val="22"/>
        </w:rPr>
      </w:pPr>
      <w:r w:rsidRPr="003D2D00">
        <w:rPr>
          <w:rFonts w:cs="Arial"/>
          <w:color w:val="FF0000"/>
          <w:szCs w:val="22"/>
        </w:rPr>
        <w:t>Department Answer: Yes, you may access the template using the link below:</w:t>
      </w:r>
    </w:p>
    <w:bookmarkStart w:id="5" w:name="_MON_1674985063"/>
    <w:bookmarkEnd w:id="5"/>
    <w:p w14:paraId="0F40EA6F" w14:textId="4255216C" w:rsidR="003D2D00" w:rsidRDefault="003D2D00" w:rsidP="003D2D00">
      <w:pPr>
        <w:ind w:left="720"/>
        <w:contextualSpacing/>
        <w:rPr>
          <w:rFonts w:cs="Arial"/>
          <w:color w:val="FF0000"/>
          <w:szCs w:val="22"/>
        </w:rPr>
      </w:pPr>
      <w:r w:rsidRPr="003D2D00">
        <w:rPr>
          <w:rFonts w:cs="Arial"/>
          <w:color w:val="FF0000"/>
          <w:szCs w:val="22"/>
        </w:rPr>
        <w:object w:dxaOrig="1543" w:dyaOrig="995" w14:anchorId="4087FAFA">
          <v:shape id="_x0000_i1029" type="#_x0000_t75" style="width:79.5pt;height:50.25pt" o:ole="">
            <v:imagedata r:id="rId32" o:title=""/>
          </v:shape>
          <o:OLEObject Type="Embed" ProgID="Word.Document.12" ShapeID="_x0000_i1029" DrawAspect="Icon" ObjectID="_1675510341" r:id="rId33">
            <o:FieldCodes>\s</o:FieldCodes>
          </o:OLEObject>
        </w:object>
      </w:r>
    </w:p>
    <w:p w14:paraId="56F00CF7" w14:textId="77777777" w:rsidR="00DB1593" w:rsidRPr="003D2D00" w:rsidRDefault="00DB1593" w:rsidP="003D2D00">
      <w:pPr>
        <w:ind w:left="720"/>
        <w:contextualSpacing/>
        <w:rPr>
          <w:rFonts w:cs="Arial"/>
          <w:color w:val="FF0000"/>
          <w:szCs w:val="22"/>
        </w:rPr>
      </w:pPr>
    </w:p>
    <w:p w14:paraId="486E6596"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Can OMHHE distribute the ATTACHMENT 9 Work Plan Template in a Word doc, for easier completion?</w:t>
      </w:r>
    </w:p>
    <w:p w14:paraId="4E3C0D59" w14:textId="77777777" w:rsidR="003D2D00" w:rsidRPr="003D2D00" w:rsidRDefault="003D2D00" w:rsidP="003D2D00">
      <w:pPr>
        <w:ind w:left="720"/>
        <w:contextualSpacing/>
        <w:rPr>
          <w:rFonts w:cs="Arial"/>
          <w:color w:val="FF0000"/>
          <w:szCs w:val="22"/>
        </w:rPr>
      </w:pPr>
      <w:r w:rsidRPr="003D2D00">
        <w:rPr>
          <w:rFonts w:cs="Arial"/>
          <w:color w:val="FF0000"/>
          <w:szCs w:val="22"/>
        </w:rPr>
        <w:t>Department Answer: Yes, you may access the template using the link below:</w:t>
      </w:r>
    </w:p>
    <w:p w14:paraId="70D8F1B6" w14:textId="77777777" w:rsidR="003D2D00" w:rsidRPr="003D2D00" w:rsidRDefault="003D2D00" w:rsidP="003D2D00">
      <w:pPr>
        <w:ind w:left="720"/>
        <w:contextualSpacing/>
        <w:rPr>
          <w:rFonts w:cs="Arial"/>
          <w:color w:val="FF0000"/>
          <w:szCs w:val="22"/>
        </w:rPr>
      </w:pPr>
      <w:r w:rsidRPr="003D2D00">
        <w:rPr>
          <w:rFonts w:cs="Arial"/>
          <w:color w:val="FF0000"/>
          <w:szCs w:val="22"/>
        </w:rPr>
        <w:t xml:space="preserve"> </w:t>
      </w:r>
      <w:bookmarkStart w:id="6" w:name="_MON_1674981252"/>
      <w:bookmarkEnd w:id="6"/>
      <w:r w:rsidRPr="003D2D00">
        <w:rPr>
          <w:rFonts w:cs="Arial"/>
          <w:color w:val="FF0000"/>
          <w:szCs w:val="22"/>
        </w:rPr>
        <w:object w:dxaOrig="1543" w:dyaOrig="995" w14:anchorId="3BB4195E">
          <v:shape id="_x0000_i1030" type="#_x0000_t75" style="width:79.5pt;height:50.25pt" o:ole="">
            <v:imagedata r:id="rId34" o:title=""/>
          </v:shape>
          <o:OLEObject Type="Embed" ProgID="Word.Document.12" ShapeID="_x0000_i1030" DrawAspect="Icon" ObjectID="_1675510342" r:id="rId35">
            <o:FieldCodes>\s</o:FieldCodes>
          </o:OLEObject>
        </w:object>
      </w:r>
    </w:p>
    <w:p w14:paraId="4DBDBFEA" w14:textId="77777777" w:rsidR="003D2D00" w:rsidRPr="003D2D00" w:rsidRDefault="003D2D00" w:rsidP="003D2D00">
      <w:pPr>
        <w:rPr>
          <w:rFonts w:cs="Arial"/>
          <w:szCs w:val="22"/>
        </w:rPr>
      </w:pPr>
    </w:p>
    <w:p w14:paraId="037843F6"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t xml:space="preserve">Is the Collaborations / Partnership Plan section required </w:t>
      </w:r>
      <w:r w:rsidRPr="003D2D00">
        <w:rPr>
          <w:rFonts w:cs="Arial"/>
          <w:szCs w:val="22"/>
          <w:u w:val="single"/>
        </w:rPr>
        <w:t>only</w:t>
      </w:r>
      <w:r w:rsidRPr="003D2D00">
        <w:rPr>
          <w:rFonts w:cs="Arial"/>
          <w:szCs w:val="22"/>
        </w:rPr>
        <w:t> if applying as a lead for a project that will include partners funded from this grant? Or is it also required for general partnerships that do not involve CTG funds (mutual referrals, donation of supplies by the Department of Health, gatekeeper agreements for access to venues, etc.)</w:t>
      </w:r>
    </w:p>
    <w:p w14:paraId="37D3E093" w14:textId="77777777" w:rsidR="003D2D00" w:rsidRPr="003D2D00" w:rsidRDefault="003D2D00" w:rsidP="003D2D00">
      <w:pPr>
        <w:ind w:left="720"/>
        <w:rPr>
          <w:rFonts w:cs="Arial"/>
          <w:color w:val="FF0000"/>
          <w:szCs w:val="22"/>
        </w:rPr>
      </w:pPr>
      <w:r w:rsidRPr="003D2D00">
        <w:rPr>
          <w:rFonts w:cs="Arial"/>
          <w:color w:val="FF0000"/>
          <w:szCs w:val="22"/>
        </w:rPr>
        <w:t xml:space="preserve">Department Answer: No, a Collaboration/Partnership Plan is required in the application to be deemed responsive and in compliance with RFA guidelines. </w:t>
      </w:r>
    </w:p>
    <w:p w14:paraId="565B47AF" w14:textId="16B193FD" w:rsidR="003D2D00" w:rsidRDefault="003D2D00" w:rsidP="003D2D00">
      <w:pPr>
        <w:rPr>
          <w:rFonts w:cs="Arial"/>
          <w:szCs w:val="22"/>
        </w:rPr>
      </w:pPr>
    </w:p>
    <w:p w14:paraId="35871E50" w14:textId="1BA2AEE4" w:rsidR="00DB1593" w:rsidRDefault="00DB1593" w:rsidP="003D2D00">
      <w:pPr>
        <w:rPr>
          <w:rFonts w:cs="Arial"/>
          <w:szCs w:val="22"/>
        </w:rPr>
      </w:pPr>
    </w:p>
    <w:p w14:paraId="4B1C33C6" w14:textId="13FB0FB2" w:rsidR="00DB1593" w:rsidRDefault="00DB1593" w:rsidP="003D2D00">
      <w:pPr>
        <w:rPr>
          <w:rFonts w:cs="Arial"/>
          <w:szCs w:val="22"/>
        </w:rPr>
      </w:pPr>
    </w:p>
    <w:p w14:paraId="2195CE32" w14:textId="0B14264A" w:rsidR="00DB1593" w:rsidRDefault="00DB1593" w:rsidP="003D2D00">
      <w:pPr>
        <w:rPr>
          <w:rFonts w:cs="Arial"/>
          <w:szCs w:val="22"/>
        </w:rPr>
      </w:pPr>
    </w:p>
    <w:p w14:paraId="1F0D9B5C" w14:textId="680DCDEB" w:rsidR="00DB1593" w:rsidRDefault="00DB1593" w:rsidP="003D2D00">
      <w:pPr>
        <w:rPr>
          <w:rFonts w:cs="Arial"/>
          <w:szCs w:val="22"/>
        </w:rPr>
      </w:pPr>
    </w:p>
    <w:p w14:paraId="74A1A4BB" w14:textId="78399D81" w:rsidR="00DB1593" w:rsidRDefault="00DB1593" w:rsidP="003D2D00">
      <w:pPr>
        <w:rPr>
          <w:rFonts w:cs="Arial"/>
          <w:szCs w:val="22"/>
        </w:rPr>
      </w:pPr>
    </w:p>
    <w:p w14:paraId="555C5C91" w14:textId="53580682" w:rsidR="00DB1593" w:rsidRDefault="00DB1593" w:rsidP="003D2D00">
      <w:pPr>
        <w:rPr>
          <w:rFonts w:cs="Arial"/>
          <w:szCs w:val="22"/>
        </w:rPr>
      </w:pPr>
    </w:p>
    <w:p w14:paraId="72FE8F47" w14:textId="2ACB7FC5" w:rsidR="00DB1593" w:rsidRDefault="00DB1593" w:rsidP="003D2D00">
      <w:pPr>
        <w:rPr>
          <w:rFonts w:cs="Arial"/>
          <w:szCs w:val="22"/>
        </w:rPr>
      </w:pPr>
    </w:p>
    <w:p w14:paraId="5BF16E79" w14:textId="582803DA" w:rsidR="00DB1593" w:rsidRDefault="00DB1593" w:rsidP="003D2D00">
      <w:pPr>
        <w:rPr>
          <w:rFonts w:cs="Arial"/>
          <w:szCs w:val="22"/>
        </w:rPr>
      </w:pPr>
    </w:p>
    <w:p w14:paraId="1228B19E" w14:textId="77777777" w:rsidR="00DB1593" w:rsidRPr="003D2D00" w:rsidRDefault="00DB1593" w:rsidP="003D2D00">
      <w:pPr>
        <w:rPr>
          <w:rFonts w:cs="Arial"/>
          <w:szCs w:val="22"/>
        </w:rPr>
      </w:pPr>
    </w:p>
    <w:p w14:paraId="06D9EE14" w14:textId="77777777" w:rsidR="003D2D00" w:rsidRPr="003D2D00" w:rsidRDefault="003D2D00" w:rsidP="003D2D00">
      <w:pPr>
        <w:numPr>
          <w:ilvl w:val="0"/>
          <w:numId w:val="22"/>
        </w:numPr>
        <w:spacing w:after="160" w:line="259" w:lineRule="auto"/>
        <w:contextualSpacing/>
        <w:rPr>
          <w:rFonts w:cs="Arial"/>
          <w:szCs w:val="22"/>
        </w:rPr>
      </w:pPr>
      <w:r w:rsidRPr="003D2D00">
        <w:rPr>
          <w:rFonts w:cs="Arial"/>
          <w:szCs w:val="22"/>
        </w:rPr>
        <w:lastRenderedPageBreak/>
        <w:t>Most important, please clarify the page limits. Page 18 of the RFA states that "The Project Narrative is limited to 30 singled spaced pages.” With the full listing below, are we correct that OMHHEE is requiring as many as 79 pages (Cover page through Project Evaluation), not counting the Budget and Budget narrative?  </w:t>
      </w:r>
    </w:p>
    <w:p w14:paraId="718F1F26" w14:textId="77777777" w:rsidR="003D2D00" w:rsidRPr="003D2D00" w:rsidRDefault="003D2D00" w:rsidP="003D2D00">
      <w:pPr>
        <w:rPr>
          <w:rFonts w:cs="Arial"/>
          <w:sz w:val="18"/>
          <w:szCs w:val="18"/>
        </w:rPr>
      </w:pPr>
      <w:r w:rsidRPr="003D2D00">
        <w:rPr>
          <w:rFonts w:cs="Arial"/>
          <w:szCs w:val="22"/>
        </w:rPr>
        <w:tab/>
        <w:t>•</w:t>
      </w:r>
      <w:r w:rsidRPr="003D2D00">
        <w:rPr>
          <w:rFonts w:cs="Arial"/>
          <w:sz w:val="18"/>
          <w:szCs w:val="18"/>
        </w:rPr>
        <w:t xml:space="preserve"> Cover Page – (One Page Limit)</w:t>
      </w:r>
    </w:p>
    <w:p w14:paraId="1AAAE340" w14:textId="77777777" w:rsidR="003D2D00" w:rsidRPr="003D2D00" w:rsidRDefault="003D2D00" w:rsidP="003D2D00">
      <w:pPr>
        <w:rPr>
          <w:rFonts w:cs="Arial"/>
          <w:sz w:val="18"/>
          <w:szCs w:val="18"/>
        </w:rPr>
      </w:pPr>
      <w:r w:rsidRPr="003D2D00">
        <w:rPr>
          <w:rFonts w:cs="Arial"/>
          <w:sz w:val="18"/>
          <w:szCs w:val="18"/>
        </w:rPr>
        <w:tab/>
        <w:t>• Table of Contents – (Two Page Limit)</w:t>
      </w:r>
    </w:p>
    <w:p w14:paraId="28DCDE33" w14:textId="77777777" w:rsidR="003D2D00" w:rsidRPr="003D2D00" w:rsidRDefault="003D2D00" w:rsidP="003D2D00">
      <w:pPr>
        <w:rPr>
          <w:rFonts w:cs="Arial"/>
          <w:sz w:val="18"/>
          <w:szCs w:val="18"/>
        </w:rPr>
      </w:pPr>
      <w:r w:rsidRPr="003D2D00">
        <w:rPr>
          <w:rFonts w:cs="Arial"/>
          <w:sz w:val="18"/>
          <w:szCs w:val="18"/>
        </w:rPr>
        <w:tab/>
        <w:t>• Project Abstract – (One Page Limit)</w:t>
      </w:r>
    </w:p>
    <w:p w14:paraId="3C451D19" w14:textId="77777777" w:rsidR="003D2D00" w:rsidRPr="003D2D00" w:rsidRDefault="003D2D00" w:rsidP="003D2D00">
      <w:pPr>
        <w:rPr>
          <w:rFonts w:cs="Arial"/>
          <w:sz w:val="18"/>
          <w:szCs w:val="18"/>
        </w:rPr>
      </w:pPr>
      <w:r w:rsidRPr="003D2D00">
        <w:rPr>
          <w:rFonts w:cs="Arial"/>
          <w:sz w:val="18"/>
          <w:szCs w:val="18"/>
        </w:rPr>
        <w:tab/>
        <w:t>• Project Narrative – (Thirty Page Limit)</w:t>
      </w:r>
    </w:p>
    <w:p w14:paraId="427A285D" w14:textId="77777777" w:rsidR="003D2D00" w:rsidRPr="003D2D00" w:rsidRDefault="003D2D00" w:rsidP="003D2D00">
      <w:pPr>
        <w:rPr>
          <w:rFonts w:cs="Arial"/>
          <w:sz w:val="18"/>
          <w:szCs w:val="18"/>
        </w:rPr>
      </w:pPr>
      <w:r w:rsidRPr="003D2D00">
        <w:rPr>
          <w:rFonts w:cs="Arial"/>
          <w:sz w:val="18"/>
          <w:szCs w:val="18"/>
        </w:rPr>
        <w:tab/>
        <w:t>• Project Management Plan- (Ten Page Limit)</w:t>
      </w:r>
    </w:p>
    <w:p w14:paraId="636B6148" w14:textId="77777777" w:rsidR="003D2D00" w:rsidRPr="003D2D00" w:rsidRDefault="003D2D00" w:rsidP="003D2D00">
      <w:pPr>
        <w:rPr>
          <w:rFonts w:cs="Arial"/>
          <w:sz w:val="18"/>
          <w:szCs w:val="18"/>
        </w:rPr>
      </w:pPr>
      <w:r w:rsidRPr="003D2D00">
        <w:rPr>
          <w:rFonts w:cs="Arial"/>
          <w:sz w:val="18"/>
          <w:szCs w:val="18"/>
        </w:rPr>
        <w:tab/>
        <w:t>• Workplan- (Ten Page Limit)</w:t>
      </w:r>
    </w:p>
    <w:p w14:paraId="297FFDC5" w14:textId="77777777" w:rsidR="003D2D00" w:rsidRPr="003D2D00" w:rsidRDefault="003D2D00" w:rsidP="003D2D00">
      <w:pPr>
        <w:rPr>
          <w:rFonts w:cs="Arial"/>
          <w:sz w:val="18"/>
          <w:szCs w:val="18"/>
        </w:rPr>
      </w:pPr>
      <w:r w:rsidRPr="003D2D00">
        <w:rPr>
          <w:rFonts w:cs="Arial"/>
          <w:sz w:val="18"/>
          <w:szCs w:val="18"/>
        </w:rPr>
        <w:tab/>
        <w:t>• Collaboration (Twenty Page Limit)</w:t>
      </w:r>
    </w:p>
    <w:p w14:paraId="2E3736A6" w14:textId="77777777" w:rsidR="003D2D00" w:rsidRPr="003D2D00" w:rsidRDefault="003D2D00" w:rsidP="003D2D00">
      <w:pPr>
        <w:rPr>
          <w:rFonts w:cs="Arial"/>
          <w:sz w:val="18"/>
          <w:szCs w:val="18"/>
        </w:rPr>
      </w:pPr>
      <w:r w:rsidRPr="003D2D00">
        <w:rPr>
          <w:rFonts w:cs="Arial"/>
          <w:sz w:val="18"/>
          <w:szCs w:val="18"/>
        </w:rPr>
        <w:tab/>
        <w:t>• Project Evaluation – with logic model – (Fifteen Page Limit)</w:t>
      </w:r>
    </w:p>
    <w:p w14:paraId="17384E1B" w14:textId="77777777" w:rsidR="003D2D00" w:rsidRPr="003D2D00" w:rsidRDefault="003D2D00" w:rsidP="003D2D00">
      <w:pPr>
        <w:rPr>
          <w:rFonts w:cs="Arial"/>
          <w:sz w:val="18"/>
          <w:szCs w:val="18"/>
        </w:rPr>
      </w:pPr>
      <w:r w:rsidRPr="003D2D00">
        <w:rPr>
          <w:rFonts w:cs="Arial"/>
          <w:sz w:val="18"/>
          <w:szCs w:val="18"/>
        </w:rPr>
        <w:tab/>
        <w:t>• Budget Summary and Narrative- (Ten Page Limit)</w:t>
      </w:r>
    </w:p>
    <w:p w14:paraId="66192671" w14:textId="77777777" w:rsidR="003D2D00" w:rsidRPr="003D2D00" w:rsidRDefault="003D2D00" w:rsidP="003D2D00">
      <w:pPr>
        <w:rPr>
          <w:rFonts w:cs="Arial"/>
          <w:sz w:val="18"/>
          <w:szCs w:val="18"/>
        </w:rPr>
      </w:pPr>
      <w:r w:rsidRPr="003D2D00">
        <w:rPr>
          <w:rFonts w:cs="Arial"/>
          <w:sz w:val="18"/>
          <w:szCs w:val="18"/>
        </w:rPr>
        <w:tab/>
        <w:t>• Budget Justification (Three Page)</w:t>
      </w:r>
    </w:p>
    <w:p w14:paraId="77B0E126" w14:textId="77777777" w:rsidR="003D2D00" w:rsidRPr="003D2D00" w:rsidRDefault="003D2D00" w:rsidP="003D2D00">
      <w:pPr>
        <w:rPr>
          <w:rFonts w:cs="Arial"/>
          <w:szCs w:val="22"/>
        </w:rPr>
      </w:pPr>
      <w:r w:rsidRPr="003D2D00">
        <w:rPr>
          <w:rFonts w:cs="Arial"/>
          <w:szCs w:val="22"/>
        </w:rPr>
        <w:t>We are concerned that a 79-page recommended length / limit would put a massive burden on agencies preparing their application.  Prior Closing the Gap RFA’s have capped pages at a 30-page limit for ALL except the budget.  Were these limits under review / revision?</w:t>
      </w:r>
    </w:p>
    <w:p w14:paraId="57BA6C9C" w14:textId="77777777" w:rsidR="003D2D00" w:rsidRPr="003D2D00" w:rsidRDefault="003D2D00" w:rsidP="003D2D00">
      <w:pPr>
        <w:rPr>
          <w:rFonts w:cs="Arial"/>
          <w:szCs w:val="22"/>
        </w:rPr>
      </w:pPr>
    </w:p>
    <w:p w14:paraId="25E5759D" w14:textId="192A13E3" w:rsidR="003D2D00" w:rsidRDefault="003D2D00" w:rsidP="003D2D00">
      <w:pPr>
        <w:ind w:left="720"/>
        <w:contextualSpacing/>
        <w:rPr>
          <w:rFonts w:eastAsia="Calibri" w:cs="Arial"/>
          <w:color w:val="FF0000"/>
          <w:szCs w:val="22"/>
        </w:rPr>
      </w:pPr>
      <w:r w:rsidRPr="003D2D00">
        <w:rPr>
          <w:rFonts w:cs="Arial"/>
          <w:color w:val="FF0000"/>
          <w:szCs w:val="22"/>
        </w:rPr>
        <w:t xml:space="preserve">Department Answer: </w:t>
      </w:r>
      <w:r w:rsidRPr="003D2D00">
        <w:rPr>
          <w:rFonts w:eastAsia="Calibri" w:cs="Arial"/>
          <w:color w:val="FF0000"/>
          <w:szCs w:val="22"/>
        </w:rPr>
        <w:t xml:space="preserve">No, the page numbers identified are limits, not minimums. </w:t>
      </w:r>
    </w:p>
    <w:p w14:paraId="7E49BC3C" w14:textId="77777777" w:rsidR="009C4792" w:rsidRPr="003D2D00" w:rsidRDefault="009C4792" w:rsidP="003D2D00">
      <w:pPr>
        <w:ind w:left="720"/>
        <w:contextualSpacing/>
        <w:rPr>
          <w:rFonts w:eastAsia="Calibri" w:cs="Arial"/>
          <w:color w:val="FF0000"/>
          <w:szCs w:val="22"/>
        </w:rPr>
      </w:pPr>
    </w:p>
    <w:p w14:paraId="746A5E1E" w14:textId="6DC742A7" w:rsidR="009C4792" w:rsidRDefault="009C4792" w:rsidP="009C4792">
      <w:pPr>
        <w:pStyle w:val="ListParagraph"/>
        <w:numPr>
          <w:ilvl w:val="0"/>
          <w:numId w:val="22"/>
        </w:numPr>
        <w:rPr>
          <w:rFonts w:cs="Arial"/>
        </w:rPr>
      </w:pPr>
      <w:r w:rsidRPr="00BE4C32">
        <w:rPr>
          <w:rFonts w:cs="Arial"/>
        </w:rPr>
        <w:t>Will the attachments such as the budget and cover page be provided in fillable form or do we need to recreate them?</w:t>
      </w:r>
    </w:p>
    <w:p w14:paraId="1055006D" w14:textId="4F146E64" w:rsidR="009C4792" w:rsidRPr="00553FC4" w:rsidRDefault="009C4792" w:rsidP="009C4792">
      <w:pPr>
        <w:pStyle w:val="ListParagraph"/>
        <w:rPr>
          <w:rFonts w:cs="Arial"/>
          <w:color w:val="FF0000"/>
        </w:rPr>
      </w:pPr>
      <w:r w:rsidRPr="00553FC4">
        <w:rPr>
          <w:rFonts w:cs="Arial"/>
          <w:color w:val="FF0000"/>
        </w:rPr>
        <w:t xml:space="preserve">Department Answer: </w:t>
      </w:r>
      <w:r w:rsidR="000875D5" w:rsidRPr="00553FC4">
        <w:rPr>
          <w:rFonts w:cs="Arial"/>
          <w:color w:val="FF0000"/>
        </w:rPr>
        <w:t>Yes, please refer to question 18 to access a fillable budget template, and question 32 for the fillable cover page template.</w:t>
      </w:r>
    </w:p>
    <w:p w14:paraId="0DAA10B6" w14:textId="77777777" w:rsidR="003D2D00" w:rsidRDefault="003D2D00" w:rsidP="00BA77F2">
      <w:pPr>
        <w:rPr>
          <w:rFonts w:cs="Arial"/>
          <w:szCs w:val="22"/>
        </w:rPr>
      </w:pPr>
    </w:p>
    <w:sectPr w:rsidR="003D2D00" w:rsidSect="00427D4D">
      <w:headerReference w:type="default" r:id="rId36"/>
      <w:headerReference w:type="first" r:id="rId37"/>
      <w:footerReference w:type="first" r:id="rId38"/>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E12E1F" w14:textId="77777777" w:rsidR="00843F47" w:rsidRDefault="00843F47">
      <w:r>
        <w:separator/>
      </w:r>
    </w:p>
  </w:endnote>
  <w:endnote w:type="continuationSeparator" w:id="0">
    <w:p w14:paraId="3C677CFB" w14:textId="77777777" w:rsidR="00843F47" w:rsidRDefault="0084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129D7" w14:textId="77777777" w:rsidR="002E64FF" w:rsidRDefault="002E64FF" w:rsidP="002E64FF">
    <w:pPr>
      <w:autoSpaceDE w:val="0"/>
      <w:autoSpaceDN w:val="0"/>
      <w:adjustRightInd w:val="0"/>
      <w:rPr>
        <w:rFonts w:cs="Arial"/>
        <w:sz w:val="24"/>
        <w:szCs w:val="24"/>
      </w:rPr>
    </w:pPr>
    <w:r>
      <w:rPr>
        <w:rFonts w:ascii="Arial-BoldMT" w:hAnsi="Arial-BoldMT" w:cs="Arial-BoldMT"/>
        <w:b/>
        <w:bCs/>
        <w:sz w:val="24"/>
        <w:szCs w:val="24"/>
      </w:rPr>
      <w:t>This is not a competitive solicitation subject to the notice or challenge provisions of section 120.57(3), Florida Statutes.</w:t>
    </w:r>
  </w:p>
  <w:p w14:paraId="6AFF08DA" w14:textId="77777777" w:rsidR="002E64FF" w:rsidRDefault="002E64FF" w:rsidP="002E64FF">
    <w:pPr>
      <w:ind w:left="1440"/>
      <w:rPr>
        <w:rFonts w:cs="Arial"/>
        <w:sz w:val="24"/>
        <w:szCs w:val="24"/>
      </w:rPr>
    </w:pPr>
  </w:p>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41"/>
      <w:gridCol w:w="5239"/>
    </w:tblGrid>
    <w:tr w:rsidR="002E64FF" w14:paraId="13CCDEA9" w14:textId="77777777" w:rsidTr="002E64FF">
      <w:tc>
        <w:tcPr>
          <w:tcW w:w="5508" w:type="dxa"/>
          <w:tcBorders>
            <w:top w:val="single" w:sz="12" w:space="0" w:color="31849B"/>
            <w:left w:val="nil"/>
            <w:bottom w:val="nil"/>
            <w:right w:val="nil"/>
          </w:tcBorders>
          <w:vAlign w:val="center"/>
        </w:tcPr>
        <w:p w14:paraId="550374AD" w14:textId="77777777" w:rsidR="002E64FF" w:rsidRDefault="002E64FF" w:rsidP="002E64FF">
          <w:pPr>
            <w:tabs>
              <w:tab w:val="left" w:pos="0"/>
              <w:tab w:val="left" w:pos="90"/>
            </w:tabs>
            <w:jc w:val="center"/>
            <w:rPr>
              <w:rFonts w:cs="Arial"/>
              <w:b/>
              <w:sz w:val="18"/>
              <w:szCs w:val="18"/>
            </w:rPr>
          </w:pPr>
        </w:p>
      </w:tc>
      <w:tc>
        <w:tcPr>
          <w:tcW w:w="5508" w:type="dxa"/>
          <w:tcBorders>
            <w:top w:val="single" w:sz="12" w:space="0" w:color="31849B"/>
            <w:left w:val="nil"/>
            <w:bottom w:val="nil"/>
            <w:right w:val="nil"/>
          </w:tcBorders>
          <w:vAlign w:val="center"/>
        </w:tcPr>
        <w:p w14:paraId="009FF6D4" w14:textId="77777777" w:rsidR="002E64FF" w:rsidRDefault="002E64FF" w:rsidP="002E64FF">
          <w:pPr>
            <w:tabs>
              <w:tab w:val="left" w:pos="0"/>
              <w:tab w:val="left" w:pos="360"/>
            </w:tabs>
            <w:ind w:left="-90" w:firstLine="90"/>
            <w:jc w:val="center"/>
            <w:rPr>
              <w:rFonts w:cs="Arial"/>
              <w:b/>
              <w:sz w:val="18"/>
              <w:szCs w:val="18"/>
            </w:rPr>
          </w:pPr>
        </w:p>
      </w:tc>
    </w:tr>
    <w:tr w:rsidR="002E64FF" w14:paraId="789BFAD0" w14:textId="77777777" w:rsidTr="002E64FF">
      <w:tc>
        <w:tcPr>
          <w:tcW w:w="5508" w:type="dxa"/>
          <w:tcBorders>
            <w:top w:val="nil"/>
            <w:left w:val="nil"/>
            <w:bottom w:val="nil"/>
            <w:right w:val="single" w:sz="12" w:space="0" w:color="31849B"/>
          </w:tcBorders>
          <w:vAlign w:val="center"/>
          <w:hideMark/>
        </w:tcPr>
        <w:p w14:paraId="3586C35A" w14:textId="77777777" w:rsidR="002E64FF" w:rsidRDefault="002E64FF" w:rsidP="002E64FF">
          <w:pPr>
            <w:tabs>
              <w:tab w:val="left" w:pos="0"/>
              <w:tab w:val="left" w:pos="90"/>
            </w:tabs>
            <w:rPr>
              <w:rFonts w:ascii="Arial Black" w:hAnsi="Arial Black" w:cs="Arial"/>
              <w:b/>
              <w:sz w:val="16"/>
              <w:szCs w:val="16"/>
            </w:rPr>
          </w:pPr>
          <w:r>
            <w:rPr>
              <w:rFonts w:ascii="Arial Black" w:hAnsi="Arial Black" w:cs="Arial"/>
              <w:b/>
              <w:sz w:val="16"/>
              <w:szCs w:val="16"/>
            </w:rPr>
            <w:t>Florida Department of Health</w:t>
          </w:r>
        </w:p>
        <w:p w14:paraId="0E011D64" w14:textId="7EF67FC6" w:rsidR="002E64FF" w:rsidRDefault="003D2D00" w:rsidP="002E64FF">
          <w:pPr>
            <w:tabs>
              <w:tab w:val="left" w:pos="0"/>
              <w:tab w:val="left" w:pos="90"/>
            </w:tabs>
            <w:rPr>
              <w:rFonts w:ascii="Arial Black" w:hAnsi="Arial Black" w:cs="Arial"/>
              <w:b/>
              <w:sz w:val="16"/>
              <w:szCs w:val="16"/>
            </w:rPr>
          </w:pPr>
          <w:r>
            <w:rPr>
              <w:rFonts w:ascii="Arial Black" w:hAnsi="Arial Black" w:cs="Arial"/>
              <w:b/>
              <w:sz w:val="16"/>
              <w:szCs w:val="16"/>
            </w:rPr>
            <w:t>Office of Minority Health and Health Equity (OMHHE)</w:t>
          </w:r>
        </w:p>
        <w:p w14:paraId="5BD13E46" w14:textId="4F1FDB9B" w:rsidR="002E64FF" w:rsidRPr="003D2D00" w:rsidRDefault="003D2D00" w:rsidP="002E64FF">
          <w:pPr>
            <w:tabs>
              <w:tab w:val="left" w:pos="0"/>
              <w:tab w:val="left" w:pos="90"/>
            </w:tabs>
            <w:rPr>
              <w:rFonts w:ascii="Arial Black" w:hAnsi="Arial Black" w:cs="Arial"/>
              <w:b/>
              <w:sz w:val="16"/>
              <w:szCs w:val="16"/>
            </w:rPr>
          </w:pPr>
          <w:r w:rsidRPr="003D2D00">
            <w:rPr>
              <w:rFonts w:ascii="Arial Black" w:hAnsi="Arial Black" w:cs="Arial"/>
              <w:b/>
              <w:sz w:val="16"/>
              <w:szCs w:val="16"/>
            </w:rPr>
            <w:t>Tallahassee, Florida</w:t>
          </w:r>
        </w:p>
        <w:p w14:paraId="054EDF12" w14:textId="77777777" w:rsidR="002E64FF" w:rsidRDefault="002E64FF" w:rsidP="002E64FF">
          <w:pPr>
            <w:tabs>
              <w:tab w:val="left" w:pos="0"/>
              <w:tab w:val="left" w:pos="90"/>
            </w:tabs>
            <w:rPr>
              <w:rFonts w:ascii="Arial Black" w:hAnsi="Arial Black" w:cs="Arial"/>
              <w:b/>
              <w:sz w:val="16"/>
              <w:szCs w:val="16"/>
            </w:rPr>
          </w:pPr>
          <w:r>
            <w:rPr>
              <w:rFonts w:ascii="Arial Black" w:hAnsi="Arial Black" w:cs="Arial"/>
              <w:b/>
              <w:sz w:val="16"/>
              <w:szCs w:val="16"/>
            </w:rPr>
            <w:t>FloridaHealth.gov</w:t>
          </w:r>
        </w:p>
      </w:tc>
      <w:tc>
        <w:tcPr>
          <w:tcW w:w="5508" w:type="dxa"/>
          <w:tcBorders>
            <w:top w:val="nil"/>
            <w:left w:val="single" w:sz="12" w:space="0" w:color="31849B"/>
            <w:bottom w:val="nil"/>
            <w:right w:val="nil"/>
          </w:tcBorders>
          <w:vAlign w:val="center"/>
        </w:tcPr>
        <w:p w14:paraId="3DD06EA3" w14:textId="07DD1AC0" w:rsidR="002E64FF" w:rsidRDefault="002E64FF" w:rsidP="002E64FF">
          <w:pPr>
            <w:tabs>
              <w:tab w:val="left" w:pos="0"/>
              <w:tab w:val="left" w:pos="360"/>
            </w:tabs>
            <w:ind w:left="-90" w:firstLine="90"/>
            <w:jc w:val="right"/>
            <w:rPr>
              <w:rFonts w:ascii="Arial Narrow" w:hAnsi="Arial Narrow" w:cs="Arial"/>
              <w:sz w:val="16"/>
              <w:szCs w:val="16"/>
            </w:rPr>
          </w:pPr>
          <w:r>
            <w:rPr>
              <w:noProof/>
            </w:rPr>
            <w:drawing>
              <wp:inline distT="0" distB="0" distL="0" distR="0" wp14:anchorId="14B414DD" wp14:editId="5BE5543A">
                <wp:extent cx="2400300" cy="40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409575"/>
                        </a:xfrm>
                        <a:prstGeom prst="rect">
                          <a:avLst/>
                        </a:prstGeom>
                        <a:noFill/>
                        <a:ln>
                          <a:noFill/>
                        </a:ln>
                      </pic:spPr>
                    </pic:pic>
                  </a:graphicData>
                </a:graphic>
              </wp:inline>
            </w:drawing>
          </w:r>
        </w:p>
        <w:p w14:paraId="0031266E" w14:textId="77777777" w:rsidR="002E64FF" w:rsidRDefault="002E64FF" w:rsidP="002E64FF">
          <w:pPr>
            <w:tabs>
              <w:tab w:val="left" w:pos="0"/>
              <w:tab w:val="left" w:pos="360"/>
            </w:tabs>
            <w:ind w:left="-90" w:firstLine="90"/>
            <w:jc w:val="right"/>
            <w:rPr>
              <w:rFonts w:ascii="Arial Narrow" w:hAnsi="Arial Narrow" w:cs="Arial"/>
              <w:sz w:val="16"/>
              <w:szCs w:val="16"/>
            </w:rPr>
          </w:pPr>
        </w:p>
      </w:tc>
    </w:tr>
  </w:tbl>
  <w:p w14:paraId="2CA818BA" w14:textId="77777777" w:rsidR="00AE17C6" w:rsidRPr="00EA464E" w:rsidRDefault="00AE17C6" w:rsidP="002E64FF">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48078" w14:textId="77777777" w:rsidR="00843F47" w:rsidRDefault="00843F47">
      <w:r>
        <w:separator/>
      </w:r>
    </w:p>
  </w:footnote>
  <w:footnote w:type="continuationSeparator" w:id="0">
    <w:p w14:paraId="745889D1" w14:textId="77777777" w:rsidR="00843F47" w:rsidRDefault="0084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3710"/>
    </w:tblGrid>
    <w:tr w:rsidR="00CF4233" w:rsidRPr="002D7C27" w14:paraId="1D77255A" w14:textId="77777777" w:rsidTr="00D97315">
      <w:tc>
        <w:tcPr>
          <w:tcW w:w="3673" w:type="dxa"/>
          <w:tcBorders>
            <w:top w:val="nil"/>
            <w:left w:val="nil"/>
            <w:bottom w:val="nil"/>
            <w:right w:val="nil"/>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5C73D538" w14:textId="13F1F095" w:rsidR="004B739B" w:rsidRDefault="005F7BA0" w:rsidP="002D7C27">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74C20F5F" wp14:editId="5719CD9D">
                <wp:extent cx="819150" cy="819150"/>
                <wp:effectExtent l="0" t="0" r="0" b="0"/>
                <wp:docPr id="5" name="Picture 5"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798" w:type="dxa"/>
          <w:tcBorders>
            <w:top w:val="nil"/>
            <w:left w:val="nil"/>
            <w:bottom w:val="nil"/>
            <w:right w:val="nil"/>
          </w:tcBorders>
          <w:shd w:val="clear" w:color="auto" w:fill="auto"/>
          <w:vAlign w:val="center"/>
        </w:tcPr>
        <w:p w14:paraId="17C19299" w14:textId="77777777" w:rsidR="006757BE" w:rsidRDefault="006757BE" w:rsidP="006757BE">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Ron DeSantis</w:t>
          </w:r>
        </w:p>
        <w:p w14:paraId="7821AD4D" w14:textId="6C7C0509" w:rsidR="006757BE" w:rsidRDefault="006757BE" w:rsidP="006757BE">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Governor</w:t>
          </w:r>
        </w:p>
        <w:p w14:paraId="0F38470C" w14:textId="77777777" w:rsidR="0001099D" w:rsidRDefault="0001099D" w:rsidP="00684E72">
          <w:pPr>
            <w:pStyle w:val="Header"/>
            <w:tabs>
              <w:tab w:val="left" w:pos="630"/>
              <w:tab w:val="left" w:pos="2790"/>
              <w:tab w:val="left" w:pos="2970"/>
            </w:tabs>
            <w:rPr>
              <w:rFonts w:ascii="Arial Narrow" w:hAnsi="Arial Narrow"/>
              <w:sz w:val="16"/>
              <w:szCs w:val="16"/>
            </w:rPr>
          </w:pPr>
        </w:p>
        <w:p w14:paraId="7EDF5F8B" w14:textId="77777777" w:rsidR="0001099D" w:rsidRDefault="0001099D" w:rsidP="0001099D">
          <w:pPr>
            <w:jc w:val="right"/>
            <w:rPr>
              <w:rFonts w:ascii="Arial Black" w:hAnsi="Arial Black"/>
              <w:b/>
              <w:sz w:val="16"/>
              <w:szCs w:val="16"/>
            </w:rPr>
          </w:pPr>
          <w:r>
            <w:rPr>
              <w:rFonts w:ascii="Arial Black" w:hAnsi="Arial Black"/>
              <w:b/>
              <w:sz w:val="16"/>
              <w:szCs w:val="16"/>
            </w:rPr>
            <w:t xml:space="preserve">Scott A. </w:t>
          </w:r>
          <w:proofErr w:type="spellStart"/>
          <w:r>
            <w:rPr>
              <w:rFonts w:ascii="Arial Black" w:hAnsi="Arial Black"/>
              <w:b/>
              <w:sz w:val="16"/>
              <w:szCs w:val="16"/>
            </w:rPr>
            <w:t>Rivkees</w:t>
          </w:r>
          <w:proofErr w:type="spellEnd"/>
          <w:r>
            <w:rPr>
              <w:rFonts w:ascii="Arial Black" w:hAnsi="Arial Black"/>
              <w:b/>
              <w:sz w:val="16"/>
              <w:szCs w:val="16"/>
            </w:rPr>
            <w:t>, MD</w:t>
          </w:r>
        </w:p>
        <w:p w14:paraId="72BB7B53" w14:textId="0D7009D4" w:rsidR="00C46BB6" w:rsidRPr="00684E72" w:rsidRDefault="0001099D" w:rsidP="00684E72">
          <w:pPr>
            <w:jc w:val="right"/>
            <w:rPr>
              <w:rFonts w:cs="Arial"/>
              <w:sz w:val="16"/>
              <w:szCs w:val="16"/>
            </w:rPr>
          </w:pPr>
          <w:r>
            <w:rPr>
              <w:rFonts w:cs="Arial"/>
              <w:sz w:val="16"/>
              <w:szCs w:val="16"/>
            </w:rPr>
            <w:t xml:space="preserve"> State Surgeon General</w:t>
          </w:r>
        </w:p>
      </w:tc>
    </w:tr>
    <w:tr w:rsidR="00507954" w:rsidRPr="00C76609" w14:paraId="0C6B5173" w14:textId="77777777" w:rsidTr="00507954">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5891"/>
    <w:multiLevelType w:val="hybridMultilevel"/>
    <w:tmpl w:val="3E081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81B7B"/>
    <w:multiLevelType w:val="hybridMultilevel"/>
    <w:tmpl w:val="F6AC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4760B"/>
    <w:multiLevelType w:val="hybridMultilevel"/>
    <w:tmpl w:val="A3568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D97C7E"/>
    <w:multiLevelType w:val="hybridMultilevel"/>
    <w:tmpl w:val="4FFC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2597A"/>
    <w:multiLevelType w:val="hybridMultilevel"/>
    <w:tmpl w:val="C97E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149EB"/>
    <w:multiLevelType w:val="hybridMultilevel"/>
    <w:tmpl w:val="E19A7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8" w15:restartNumberingAfterBreak="0">
    <w:nsid w:val="2C71225F"/>
    <w:multiLevelType w:val="hybridMultilevel"/>
    <w:tmpl w:val="25523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A15BF9"/>
    <w:multiLevelType w:val="hybridMultilevel"/>
    <w:tmpl w:val="F43A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6D483F"/>
    <w:multiLevelType w:val="hybridMultilevel"/>
    <w:tmpl w:val="9BFC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92562"/>
    <w:multiLevelType w:val="hybridMultilevel"/>
    <w:tmpl w:val="A398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4B3601"/>
    <w:multiLevelType w:val="hybridMultilevel"/>
    <w:tmpl w:val="4746D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865748F"/>
    <w:multiLevelType w:val="hybridMultilevel"/>
    <w:tmpl w:val="A0A6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2B0CC0"/>
    <w:multiLevelType w:val="hybridMultilevel"/>
    <w:tmpl w:val="9BF8E62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6" w15:restartNumberingAfterBreak="0">
    <w:nsid w:val="61374D6A"/>
    <w:multiLevelType w:val="hybridMultilevel"/>
    <w:tmpl w:val="6B18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DC3D75"/>
    <w:multiLevelType w:val="hybridMultilevel"/>
    <w:tmpl w:val="9F92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0E571D"/>
    <w:multiLevelType w:val="hybridMultilevel"/>
    <w:tmpl w:val="3B964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1051344"/>
    <w:multiLevelType w:val="hybridMultilevel"/>
    <w:tmpl w:val="982E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2944B6"/>
    <w:multiLevelType w:val="hybridMultilevel"/>
    <w:tmpl w:val="EB34D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0"/>
  </w:num>
  <w:num w:numId="5">
    <w:abstractNumId w:val="18"/>
  </w:num>
  <w:num w:numId="6">
    <w:abstractNumId w:val="12"/>
  </w:num>
  <w:num w:numId="7">
    <w:abstractNumId w:val="15"/>
  </w:num>
  <w:num w:numId="8">
    <w:abstractNumId w:val="1"/>
  </w:num>
  <w:num w:numId="9">
    <w:abstractNumId w:val="19"/>
  </w:num>
  <w:num w:numId="10">
    <w:abstractNumId w:val="20"/>
  </w:num>
  <w:num w:numId="11">
    <w:abstractNumId w:val="10"/>
  </w:num>
  <w:num w:numId="12">
    <w:abstractNumId w:val="11"/>
  </w:num>
  <w:num w:numId="13">
    <w:abstractNumId w:val="4"/>
  </w:num>
  <w:num w:numId="14">
    <w:abstractNumId w:val="17"/>
  </w:num>
  <w:num w:numId="15">
    <w:abstractNumId w:val="16"/>
  </w:num>
  <w:num w:numId="16">
    <w:abstractNumId w:val="5"/>
  </w:num>
  <w:num w:numId="17">
    <w:abstractNumId w:val="6"/>
  </w:num>
  <w:num w:numId="18">
    <w:abstractNumId w:val="2"/>
  </w:num>
  <w:num w:numId="19">
    <w:abstractNumId w:val="13"/>
  </w:num>
  <w:num w:numId="20">
    <w:abstractNumId w:val="3"/>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68"/>
    <w:rsid w:val="00000983"/>
    <w:rsid w:val="00002094"/>
    <w:rsid w:val="0001099D"/>
    <w:rsid w:val="00013937"/>
    <w:rsid w:val="000244F3"/>
    <w:rsid w:val="000305C1"/>
    <w:rsid w:val="000316B5"/>
    <w:rsid w:val="00042EF4"/>
    <w:rsid w:val="0005602F"/>
    <w:rsid w:val="00060DCA"/>
    <w:rsid w:val="00067BAB"/>
    <w:rsid w:val="00074F57"/>
    <w:rsid w:val="00075CEA"/>
    <w:rsid w:val="000831F9"/>
    <w:rsid w:val="000875D5"/>
    <w:rsid w:val="00090C84"/>
    <w:rsid w:val="00092AB1"/>
    <w:rsid w:val="000A03E7"/>
    <w:rsid w:val="000A37A4"/>
    <w:rsid w:val="000D0339"/>
    <w:rsid w:val="000D66AA"/>
    <w:rsid w:val="000E4A35"/>
    <w:rsid w:val="001217A8"/>
    <w:rsid w:val="001232BE"/>
    <w:rsid w:val="00125FB3"/>
    <w:rsid w:val="00142779"/>
    <w:rsid w:val="00147F23"/>
    <w:rsid w:val="00166976"/>
    <w:rsid w:val="001774B5"/>
    <w:rsid w:val="00194549"/>
    <w:rsid w:val="001A7B53"/>
    <w:rsid w:val="001E6844"/>
    <w:rsid w:val="001F18C7"/>
    <w:rsid w:val="001F4332"/>
    <w:rsid w:val="001F5870"/>
    <w:rsid w:val="001F66A4"/>
    <w:rsid w:val="00201EFC"/>
    <w:rsid w:val="00204194"/>
    <w:rsid w:val="002131FA"/>
    <w:rsid w:val="00215ADB"/>
    <w:rsid w:val="00237A1A"/>
    <w:rsid w:val="00237F56"/>
    <w:rsid w:val="002407F0"/>
    <w:rsid w:val="002447F0"/>
    <w:rsid w:val="00251C98"/>
    <w:rsid w:val="00261D67"/>
    <w:rsid w:val="0026273D"/>
    <w:rsid w:val="00265EB5"/>
    <w:rsid w:val="00283E54"/>
    <w:rsid w:val="0028440B"/>
    <w:rsid w:val="0029081B"/>
    <w:rsid w:val="002A2AC4"/>
    <w:rsid w:val="002B60B2"/>
    <w:rsid w:val="002B7D9F"/>
    <w:rsid w:val="002C2CA6"/>
    <w:rsid w:val="002C2D1C"/>
    <w:rsid w:val="002D1606"/>
    <w:rsid w:val="002D1659"/>
    <w:rsid w:val="002D7C27"/>
    <w:rsid w:val="002E3A2D"/>
    <w:rsid w:val="002E64FF"/>
    <w:rsid w:val="00314019"/>
    <w:rsid w:val="00315BE1"/>
    <w:rsid w:val="00316EE9"/>
    <w:rsid w:val="00325C07"/>
    <w:rsid w:val="003332C4"/>
    <w:rsid w:val="00336EAE"/>
    <w:rsid w:val="00342B06"/>
    <w:rsid w:val="003445ED"/>
    <w:rsid w:val="003523C8"/>
    <w:rsid w:val="00382A10"/>
    <w:rsid w:val="003855A1"/>
    <w:rsid w:val="00387B5A"/>
    <w:rsid w:val="003923D5"/>
    <w:rsid w:val="00396E37"/>
    <w:rsid w:val="003A1C68"/>
    <w:rsid w:val="003A2BF8"/>
    <w:rsid w:val="003B1B3D"/>
    <w:rsid w:val="003B25E6"/>
    <w:rsid w:val="003C3C96"/>
    <w:rsid w:val="003C3E5D"/>
    <w:rsid w:val="003C595C"/>
    <w:rsid w:val="003C5D56"/>
    <w:rsid w:val="003D09AE"/>
    <w:rsid w:val="003D2D00"/>
    <w:rsid w:val="003F144D"/>
    <w:rsid w:val="003F1B57"/>
    <w:rsid w:val="003F25AE"/>
    <w:rsid w:val="0040548D"/>
    <w:rsid w:val="00406F5F"/>
    <w:rsid w:val="004123F3"/>
    <w:rsid w:val="004160D7"/>
    <w:rsid w:val="00421B1D"/>
    <w:rsid w:val="00427D4D"/>
    <w:rsid w:val="00433BE4"/>
    <w:rsid w:val="00445997"/>
    <w:rsid w:val="004524A1"/>
    <w:rsid w:val="00456C94"/>
    <w:rsid w:val="00476B07"/>
    <w:rsid w:val="00482EDB"/>
    <w:rsid w:val="00485DC1"/>
    <w:rsid w:val="0049073D"/>
    <w:rsid w:val="004A2A14"/>
    <w:rsid w:val="004A59DC"/>
    <w:rsid w:val="004B739B"/>
    <w:rsid w:val="004C1B76"/>
    <w:rsid w:val="004D42A5"/>
    <w:rsid w:val="004E3717"/>
    <w:rsid w:val="005034FE"/>
    <w:rsid w:val="005039E9"/>
    <w:rsid w:val="00505388"/>
    <w:rsid w:val="00507954"/>
    <w:rsid w:val="00511586"/>
    <w:rsid w:val="00514C1E"/>
    <w:rsid w:val="00545192"/>
    <w:rsid w:val="00547B2F"/>
    <w:rsid w:val="005507CC"/>
    <w:rsid w:val="00553FC4"/>
    <w:rsid w:val="00565328"/>
    <w:rsid w:val="0057098F"/>
    <w:rsid w:val="00573CCB"/>
    <w:rsid w:val="00576CB2"/>
    <w:rsid w:val="00581F32"/>
    <w:rsid w:val="00590CF1"/>
    <w:rsid w:val="00590FB0"/>
    <w:rsid w:val="005972EA"/>
    <w:rsid w:val="005A0FB6"/>
    <w:rsid w:val="005A5CB0"/>
    <w:rsid w:val="005A5D13"/>
    <w:rsid w:val="005B1627"/>
    <w:rsid w:val="005C274C"/>
    <w:rsid w:val="005C705D"/>
    <w:rsid w:val="005E0AF3"/>
    <w:rsid w:val="005F0B68"/>
    <w:rsid w:val="005F7BA0"/>
    <w:rsid w:val="00600582"/>
    <w:rsid w:val="00604720"/>
    <w:rsid w:val="00616EAE"/>
    <w:rsid w:val="00617AE3"/>
    <w:rsid w:val="00624C20"/>
    <w:rsid w:val="00644E38"/>
    <w:rsid w:val="006528C4"/>
    <w:rsid w:val="0065318F"/>
    <w:rsid w:val="0065770D"/>
    <w:rsid w:val="006734CD"/>
    <w:rsid w:val="006757BE"/>
    <w:rsid w:val="00675BF5"/>
    <w:rsid w:val="00684E72"/>
    <w:rsid w:val="00686C06"/>
    <w:rsid w:val="006902B4"/>
    <w:rsid w:val="0069209F"/>
    <w:rsid w:val="00692D62"/>
    <w:rsid w:val="006966CC"/>
    <w:rsid w:val="006A437C"/>
    <w:rsid w:val="006B29DE"/>
    <w:rsid w:val="006B4618"/>
    <w:rsid w:val="006B54EA"/>
    <w:rsid w:val="006B71D6"/>
    <w:rsid w:val="006C3547"/>
    <w:rsid w:val="006C68CE"/>
    <w:rsid w:val="006D08AF"/>
    <w:rsid w:val="006E5C35"/>
    <w:rsid w:val="006E621C"/>
    <w:rsid w:val="006F425D"/>
    <w:rsid w:val="006F72BC"/>
    <w:rsid w:val="00702135"/>
    <w:rsid w:val="00711F46"/>
    <w:rsid w:val="007216AA"/>
    <w:rsid w:val="00731B86"/>
    <w:rsid w:val="007320E7"/>
    <w:rsid w:val="0074225F"/>
    <w:rsid w:val="00745020"/>
    <w:rsid w:val="00745D08"/>
    <w:rsid w:val="007468D5"/>
    <w:rsid w:val="00752693"/>
    <w:rsid w:val="007535F4"/>
    <w:rsid w:val="00753A04"/>
    <w:rsid w:val="00756E94"/>
    <w:rsid w:val="00762744"/>
    <w:rsid w:val="007712CD"/>
    <w:rsid w:val="007741EC"/>
    <w:rsid w:val="0077427B"/>
    <w:rsid w:val="00776B73"/>
    <w:rsid w:val="00776F30"/>
    <w:rsid w:val="00777EAF"/>
    <w:rsid w:val="00792378"/>
    <w:rsid w:val="007B388E"/>
    <w:rsid w:val="007B6DBE"/>
    <w:rsid w:val="007C1CCD"/>
    <w:rsid w:val="007C5E6B"/>
    <w:rsid w:val="007D0747"/>
    <w:rsid w:val="007D07DB"/>
    <w:rsid w:val="007D0DF8"/>
    <w:rsid w:val="007D457B"/>
    <w:rsid w:val="007D46CC"/>
    <w:rsid w:val="007D4F70"/>
    <w:rsid w:val="007D50C2"/>
    <w:rsid w:val="007D642C"/>
    <w:rsid w:val="007E6CF3"/>
    <w:rsid w:val="007F2E83"/>
    <w:rsid w:val="00800257"/>
    <w:rsid w:val="00805303"/>
    <w:rsid w:val="00811D93"/>
    <w:rsid w:val="00816082"/>
    <w:rsid w:val="008308DD"/>
    <w:rsid w:val="0083499E"/>
    <w:rsid w:val="00843F47"/>
    <w:rsid w:val="00845C69"/>
    <w:rsid w:val="00852E9F"/>
    <w:rsid w:val="008551EE"/>
    <w:rsid w:val="00860B59"/>
    <w:rsid w:val="00862368"/>
    <w:rsid w:val="008636BD"/>
    <w:rsid w:val="008672EC"/>
    <w:rsid w:val="00877BFD"/>
    <w:rsid w:val="00880A1A"/>
    <w:rsid w:val="00884DCD"/>
    <w:rsid w:val="0089552B"/>
    <w:rsid w:val="008A001B"/>
    <w:rsid w:val="008A2C3D"/>
    <w:rsid w:val="008A2DB6"/>
    <w:rsid w:val="008B105A"/>
    <w:rsid w:val="008B2DFF"/>
    <w:rsid w:val="008B5BEC"/>
    <w:rsid w:val="008B7A45"/>
    <w:rsid w:val="008C1A67"/>
    <w:rsid w:val="008D2621"/>
    <w:rsid w:val="008E4463"/>
    <w:rsid w:val="008E6ABE"/>
    <w:rsid w:val="008F4112"/>
    <w:rsid w:val="00906C0D"/>
    <w:rsid w:val="009173DB"/>
    <w:rsid w:val="009374DE"/>
    <w:rsid w:val="0094160C"/>
    <w:rsid w:val="0094772D"/>
    <w:rsid w:val="00962DDD"/>
    <w:rsid w:val="00967255"/>
    <w:rsid w:val="0098627C"/>
    <w:rsid w:val="00992ADE"/>
    <w:rsid w:val="00994908"/>
    <w:rsid w:val="00996846"/>
    <w:rsid w:val="00997509"/>
    <w:rsid w:val="009A3141"/>
    <w:rsid w:val="009B4551"/>
    <w:rsid w:val="009C0F92"/>
    <w:rsid w:val="009C13F9"/>
    <w:rsid w:val="009C4792"/>
    <w:rsid w:val="009C6790"/>
    <w:rsid w:val="009C6FD3"/>
    <w:rsid w:val="009D14D0"/>
    <w:rsid w:val="009E5FC8"/>
    <w:rsid w:val="009F0383"/>
    <w:rsid w:val="009F61FB"/>
    <w:rsid w:val="009F714D"/>
    <w:rsid w:val="00A02893"/>
    <w:rsid w:val="00A03337"/>
    <w:rsid w:val="00A07B40"/>
    <w:rsid w:val="00A308B7"/>
    <w:rsid w:val="00A309B6"/>
    <w:rsid w:val="00A517A3"/>
    <w:rsid w:val="00A51B35"/>
    <w:rsid w:val="00A5287C"/>
    <w:rsid w:val="00A62C69"/>
    <w:rsid w:val="00A648DC"/>
    <w:rsid w:val="00A65971"/>
    <w:rsid w:val="00A70C58"/>
    <w:rsid w:val="00A70E76"/>
    <w:rsid w:val="00A719B5"/>
    <w:rsid w:val="00A845E2"/>
    <w:rsid w:val="00A90644"/>
    <w:rsid w:val="00AA0364"/>
    <w:rsid w:val="00AA0C3D"/>
    <w:rsid w:val="00AA1424"/>
    <w:rsid w:val="00AB78C6"/>
    <w:rsid w:val="00AC5306"/>
    <w:rsid w:val="00AC6B7C"/>
    <w:rsid w:val="00AD67C9"/>
    <w:rsid w:val="00AE17C6"/>
    <w:rsid w:val="00AE2BB6"/>
    <w:rsid w:val="00AF057A"/>
    <w:rsid w:val="00AF4DB2"/>
    <w:rsid w:val="00AF79BE"/>
    <w:rsid w:val="00AF7CE9"/>
    <w:rsid w:val="00B0131D"/>
    <w:rsid w:val="00B05192"/>
    <w:rsid w:val="00B0634E"/>
    <w:rsid w:val="00B255BF"/>
    <w:rsid w:val="00B26F3B"/>
    <w:rsid w:val="00B3386F"/>
    <w:rsid w:val="00B40041"/>
    <w:rsid w:val="00B40765"/>
    <w:rsid w:val="00B530D2"/>
    <w:rsid w:val="00B577A1"/>
    <w:rsid w:val="00B830E0"/>
    <w:rsid w:val="00B914CB"/>
    <w:rsid w:val="00B95C33"/>
    <w:rsid w:val="00BA77F2"/>
    <w:rsid w:val="00BC400B"/>
    <w:rsid w:val="00BC4EAA"/>
    <w:rsid w:val="00BD500E"/>
    <w:rsid w:val="00BD614A"/>
    <w:rsid w:val="00BE4B4C"/>
    <w:rsid w:val="00BE7093"/>
    <w:rsid w:val="00C05802"/>
    <w:rsid w:val="00C06C82"/>
    <w:rsid w:val="00C1782B"/>
    <w:rsid w:val="00C24D75"/>
    <w:rsid w:val="00C35047"/>
    <w:rsid w:val="00C352E3"/>
    <w:rsid w:val="00C46BB6"/>
    <w:rsid w:val="00C51872"/>
    <w:rsid w:val="00C5200F"/>
    <w:rsid w:val="00C62515"/>
    <w:rsid w:val="00C63A41"/>
    <w:rsid w:val="00C7257F"/>
    <w:rsid w:val="00C76609"/>
    <w:rsid w:val="00C76B63"/>
    <w:rsid w:val="00C82336"/>
    <w:rsid w:val="00C844D7"/>
    <w:rsid w:val="00C90FF1"/>
    <w:rsid w:val="00C91FED"/>
    <w:rsid w:val="00C97068"/>
    <w:rsid w:val="00CA3C85"/>
    <w:rsid w:val="00CA57BF"/>
    <w:rsid w:val="00CB6B4C"/>
    <w:rsid w:val="00CC0227"/>
    <w:rsid w:val="00CE24C4"/>
    <w:rsid w:val="00CE77C6"/>
    <w:rsid w:val="00CF4233"/>
    <w:rsid w:val="00CF5839"/>
    <w:rsid w:val="00D00409"/>
    <w:rsid w:val="00D03457"/>
    <w:rsid w:val="00D03B36"/>
    <w:rsid w:val="00D06281"/>
    <w:rsid w:val="00D0688D"/>
    <w:rsid w:val="00D118EF"/>
    <w:rsid w:val="00D11E94"/>
    <w:rsid w:val="00D15E8C"/>
    <w:rsid w:val="00D200D4"/>
    <w:rsid w:val="00D226BF"/>
    <w:rsid w:val="00D26A93"/>
    <w:rsid w:val="00D3184E"/>
    <w:rsid w:val="00D36202"/>
    <w:rsid w:val="00D41581"/>
    <w:rsid w:val="00D425F5"/>
    <w:rsid w:val="00D42AEE"/>
    <w:rsid w:val="00D50415"/>
    <w:rsid w:val="00D51A35"/>
    <w:rsid w:val="00D51DB4"/>
    <w:rsid w:val="00D56E22"/>
    <w:rsid w:val="00D640DF"/>
    <w:rsid w:val="00D7397E"/>
    <w:rsid w:val="00D83E27"/>
    <w:rsid w:val="00D8747E"/>
    <w:rsid w:val="00D918AA"/>
    <w:rsid w:val="00D97315"/>
    <w:rsid w:val="00DA0CAA"/>
    <w:rsid w:val="00DA691F"/>
    <w:rsid w:val="00DB1593"/>
    <w:rsid w:val="00DB2375"/>
    <w:rsid w:val="00DC5084"/>
    <w:rsid w:val="00DD619E"/>
    <w:rsid w:val="00DF3D73"/>
    <w:rsid w:val="00E12A3F"/>
    <w:rsid w:val="00E160EA"/>
    <w:rsid w:val="00E22935"/>
    <w:rsid w:val="00E235A4"/>
    <w:rsid w:val="00E32BAF"/>
    <w:rsid w:val="00E357D6"/>
    <w:rsid w:val="00E45718"/>
    <w:rsid w:val="00E52982"/>
    <w:rsid w:val="00E60530"/>
    <w:rsid w:val="00E61A42"/>
    <w:rsid w:val="00E644BE"/>
    <w:rsid w:val="00E65291"/>
    <w:rsid w:val="00E67A24"/>
    <w:rsid w:val="00E7252B"/>
    <w:rsid w:val="00E743B3"/>
    <w:rsid w:val="00E768F4"/>
    <w:rsid w:val="00E77532"/>
    <w:rsid w:val="00E8207E"/>
    <w:rsid w:val="00E83212"/>
    <w:rsid w:val="00E87A68"/>
    <w:rsid w:val="00E9308C"/>
    <w:rsid w:val="00E95184"/>
    <w:rsid w:val="00EA464E"/>
    <w:rsid w:val="00EB5591"/>
    <w:rsid w:val="00EB7C58"/>
    <w:rsid w:val="00EC0C30"/>
    <w:rsid w:val="00EC2DBC"/>
    <w:rsid w:val="00EC76D0"/>
    <w:rsid w:val="00ED412C"/>
    <w:rsid w:val="00ED539C"/>
    <w:rsid w:val="00ED6ABD"/>
    <w:rsid w:val="00F40F76"/>
    <w:rsid w:val="00F5305B"/>
    <w:rsid w:val="00F56CB6"/>
    <w:rsid w:val="00F66075"/>
    <w:rsid w:val="00F66F03"/>
    <w:rsid w:val="00F67758"/>
    <w:rsid w:val="00F71568"/>
    <w:rsid w:val="00F76013"/>
    <w:rsid w:val="00F80F1E"/>
    <w:rsid w:val="00F842A6"/>
    <w:rsid w:val="00F85B45"/>
    <w:rsid w:val="00F86557"/>
    <w:rsid w:val="00F90802"/>
    <w:rsid w:val="00FA2075"/>
    <w:rsid w:val="00FA7FCB"/>
    <w:rsid w:val="00FB237A"/>
    <w:rsid w:val="00FB2AEC"/>
    <w:rsid w:val="00FC5833"/>
    <w:rsid w:val="00FE0598"/>
    <w:rsid w:val="00FE1455"/>
    <w:rsid w:val="00FE1AB1"/>
    <w:rsid w:val="00FF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3DBE7A"/>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link w:val="Heading1Char"/>
    <w:qFormat/>
    <w:pPr>
      <w:keepNext/>
      <w:tabs>
        <w:tab w:val="left" w:pos="5040"/>
      </w:tabs>
      <w:jc w:val="center"/>
      <w:outlineLvl w:val="0"/>
    </w:pPr>
    <w:rPr>
      <w:b/>
      <w:bCs/>
      <w:sz w:val="28"/>
    </w:rPr>
  </w:style>
  <w:style w:type="paragraph" w:styleId="Heading2">
    <w:name w:val="heading 2"/>
    <w:basedOn w:val="Normal"/>
    <w:next w:val="Normal"/>
    <w:link w:val="Heading2Char"/>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rsid w:val="00D41581"/>
    <w:pPr>
      <w:ind w:left="720"/>
      <w:contextualSpacing/>
    </w:pPr>
  </w:style>
  <w:style w:type="character" w:customStyle="1" w:styleId="HeaderChar">
    <w:name w:val="Header Char"/>
    <w:basedOn w:val="DefaultParagraphFont"/>
    <w:link w:val="Header"/>
    <w:rsid w:val="006757BE"/>
    <w:rPr>
      <w:rFonts w:ascii="Arial" w:hAnsi="Arial"/>
      <w:sz w:val="22"/>
    </w:rPr>
  </w:style>
  <w:style w:type="character" w:styleId="CommentReference">
    <w:name w:val="annotation reference"/>
    <w:basedOn w:val="DefaultParagraphFont"/>
    <w:uiPriority w:val="99"/>
    <w:rsid w:val="007468D5"/>
    <w:rPr>
      <w:sz w:val="16"/>
      <w:szCs w:val="16"/>
    </w:rPr>
  </w:style>
  <w:style w:type="paragraph" w:styleId="CommentText">
    <w:name w:val="annotation text"/>
    <w:basedOn w:val="Normal"/>
    <w:link w:val="CommentTextChar"/>
    <w:rsid w:val="007468D5"/>
    <w:rPr>
      <w:sz w:val="20"/>
    </w:rPr>
  </w:style>
  <w:style w:type="character" w:customStyle="1" w:styleId="CommentTextChar">
    <w:name w:val="Comment Text Char"/>
    <w:basedOn w:val="DefaultParagraphFont"/>
    <w:link w:val="CommentText"/>
    <w:rsid w:val="007468D5"/>
    <w:rPr>
      <w:rFonts w:ascii="Arial" w:hAnsi="Arial"/>
    </w:rPr>
  </w:style>
  <w:style w:type="paragraph" w:styleId="CommentSubject">
    <w:name w:val="annotation subject"/>
    <w:basedOn w:val="CommentText"/>
    <w:next w:val="CommentText"/>
    <w:link w:val="CommentSubjectChar"/>
    <w:rsid w:val="007468D5"/>
    <w:rPr>
      <w:b/>
      <w:bCs/>
    </w:rPr>
  </w:style>
  <w:style w:type="character" w:customStyle="1" w:styleId="CommentSubjectChar">
    <w:name w:val="Comment Subject Char"/>
    <w:basedOn w:val="CommentTextChar"/>
    <w:link w:val="CommentSubject"/>
    <w:rsid w:val="007468D5"/>
    <w:rPr>
      <w:rFonts w:ascii="Arial" w:hAnsi="Arial"/>
      <w:b/>
      <w:bCs/>
    </w:rPr>
  </w:style>
  <w:style w:type="paragraph" w:styleId="Revision">
    <w:name w:val="Revision"/>
    <w:hidden/>
    <w:uiPriority w:val="99"/>
    <w:semiHidden/>
    <w:rsid w:val="007468D5"/>
    <w:rPr>
      <w:rFonts w:ascii="Arial" w:hAnsi="Arial"/>
      <w:sz w:val="22"/>
    </w:rPr>
  </w:style>
  <w:style w:type="character" w:customStyle="1" w:styleId="Heading1Char">
    <w:name w:val="Heading 1 Char"/>
    <w:basedOn w:val="DefaultParagraphFont"/>
    <w:link w:val="Heading1"/>
    <w:rsid w:val="00215ADB"/>
    <w:rPr>
      <w:rFonts w:ascii="Arial" w:hAnsi="Arial"/>
      <w:b/>
      <w:bCs/>
      <w:sz w:val="28"/>
    </w:rPr>
  </w:style>
  <w:style w:type="character" w:customStyle="1" w:styleId="Heading2Char">
    <w:name w:val="Heading 2 Char"/>
    <w:basedOn w:val="DefaultParagraphFont"/>
    <w:link w:val="Heading2"/>
    <w:rsid w:val="00215ADB"/>
    <w:rPr>
      <w:rFonts w:ascii="Arial" w:hAnsi="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234640">
      <w:bodyDiv w:val="1"/>
      <w:marLeft w:val="0"/>
      <w:marRight w:val="0"/>
      <w:marTop w:val="0"/>
      <w:marBottom w:val="0"/>
      <w:divBdr>
        <w:top w:val="none" w:sz="0" w:space="0" w:color="auto"/>
        <w:left w:val="none" w:sz="0" w:space="0" w:color="auto"/>
        <w:bottom w:val="none" w:sz="0" w:space="0" w:color="auto"/>
        <w:right w:val="none" w:sz="0" w:space="0" w:color="auto"/>
      </w:divBdr>
    </w:div>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478808669">
      <w:bodyDiv w:val="1"/>
      <w:marLeft w:val="0"/>
      <w:marRight w:val="0"/>
      <w:marTop w:val="0"/>
      <w:marBottom w:val="0"/>
      <w:divBdr>
        <w:top w:val="none" w:sz="0" w:space="0" w:color="auto"/>
        <w:left w:val="none" w:sz="0" w:space="0" w:color="auto"/>
        <w:bottom w:val="none" w:sz="0" w:space="0" w:color="auto"/>
        <w:right w:val="none" w:sz="0" w:space="0" w:color="auto"/>
      </w:divBdr>
    </w:div>
    <w:div w:id="599878644">
      <w:bodyDiv w:val="1"/>
      <w:marLeft w:val="0"/>
      <w:marRight w:val="0"/>
      <w:marTop w:val="0"/>
      <w:marBottom w:val="0"/>
      <w:divBdr>
        <w:top w:val="none" w:sz="0" w:space="0" w:color="auto"/>
        <w:left w:val="none" w:sz="0" w:space="0" w:color="auto"/>
        <w:bottom w:val="none" w:sz="0" w:space="0" w:color="auto"/>
        <w:right w:val="none" w:sz="0" w:space="0" w:color="auto"/>
      </w:divBdr>
    </w:div>
    <w:div w:id="112102578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 w:id="1327126474">
      <w:bodyDiv w:val="1"/>
      <w:marLeft w:val="0"/>
      <w:marRight w:val="0"/>
      <w:marTop w:val="0"/>
      <w:marBottom w:val="0"/>
      <w:divBdr>
        <w:top w:val="none" w:sz="0" w:space="0" w:color="auto"/>
        <w:left w:val="none" w:sz="0" w:space="0" w:color="auto"/>
        <w:bottom w:val="none" w:sz="0" w:space="0" w:color="auto"/>
        <w:right w:val="none" w:sz="0" w:space="0" w:color="auto"/>
      </w:divBdr>
    </w:div>
    <w:div w:id="1479346482">
      <w:bodyDiv w:val="1"/>
      <w:marLeft w:val="0"/>
      <w:marRight w:val="0"/>
      <w:marTop w:val="0"/>
      <w:marBottom w:val="0"/>
      <w:divBdr>
        <w:top w:val="none" w:sz="0" w:space="0" w:color="auto"/>
        <w:left w:val="none" w:sz="0" w:space="0" w:color="auto"/>
        <w:bottom w:val="none" w:sz="0" w:space="0" w:color="auto"/>
        <w:right w:val="none" w:sz="0" w:space="0" w:color="auto"/>
      </w:divBdr>
    </w:div>
    <w:div w:id="1551110598">
      <w:bodyDiv w:val="1"/>
      <w:marLeft w:val="0"/>
      <w:marRight w:val="0"/>
      <w:marTop w:val="0"/>
      <w:marBottom w:val="0"/>
      <w:divBdr>
        <w:top w:val="none" w:sz="0" w:space="0" w:color="auto"/>
        <w:left w:val="none" w:sz="0" w:space="0" w:color="auto"/>
        <w:bottom w:val="none" w:sz="0" w:space="0" w:color="auto"/>
        <w:right w:val="none" w:sz="0" w:space="0" w:color="auto"/>
      </w:divBdr>
    </w:div>
    <w:div w:id="191196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www.nih.gov/__;!!B6dj6w!o04coRGOGqVOZgTR1HmPCt42bJNk7jXA0kLB0rJwzcM9ktV7zY85bdrZLB_7jc7XnAvbFjhJZkk$" TargetMode="External"/><Relationship Id="rId18" Type="http://schemas.openxmlformats.org/officeDocument/2006/relationships/hyperlink" Target="https://urldefense.com/v3/__https:/www.cdc.gov/media/releases/2020p1218-overdose-deaths-covid-19.html__;!!B6dj6w!o04coRGOGqVOZgTR1HmPCt42bJNk7jXA0kLB0rJwzcM9ktV7zY85bdrZLB_7jc7XnAvbx-AKHsM$" TargetMode="External"/><Relationship Id="rId26" Type="http://schemas.openxmlformats.org/officeDocument/2006/relationships/image" Target="media/image2.emf"/><Relationship Id="rId39" Type="http://schemas.openxmlformats.org/officeDocument/2006/relationships/fontTable" Target="fontTable.xml"/><Relationship Id="rId21" Type="http://schemas.openxmlformats.org/officeDocument/2006/relationships/hyperlink" Target="https://urldefense.com/v3/__https:/www.cdc.gov/coronavirus/2019-ncov/stress-coping/alcohol-use.html__;!!B6dj6w!o04coRGOGqVOZgTR1HmPCt42bJNk7jXA0kLB0rJwzcM9ktV7zY85bdrZLB_7jc7XnAvb9TZgD0A$" TargetMode="External"/><Relationship Id="rId34"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s://urldefense.com/v3/__https:/www.hsph.harvard.edu/nutritionsource/disease-prevention/cardiovascular-disease/__;!!B6dj6w!o04coRGOGqVOZgTR1HmPCt42bJNk7jXA0kLB0rJwzcM9ktV7zY85bdrZLB_7jc7XnAvbk3eHFwM$" TargetMode="External"/><Relationship Id="rId17" Type="http://schemas.openxmlformats.org/officeDocument/2006/relationships/hyperlink" Target="https://urldefense.proofpoint.com/v2/url?u=https-3A__www.migrantclinician.org_issues_migrant-2Dinfo_migrant.html&amp;d=DwMFaQ&amp;c=euGZstcaTDllvimEN8b7jXrwqOf-v5A_CdpgnVfiiMM&amp;r=24rRCw5sBT4W5SfbCktWYlHM9vppZusWpSk_ov0VbIcFc7l-LCCg82710pCy5IiA&amp;m=3wjfynIIAx2GwGL5LhFmRmWHR77RdrDGdARZ_XdF5yQ&amp;s=u3vCiWrcRWHIiHKP06ItlpM0dfWbOEj1q9KqV2Wk8_E&amp;e=" TargetMode="External"/><Relationship Id="rId25" Type="http://schemas.openxmlformats.org/officeDocument/2006/relationships/oleObject" Target="embeddings/Microsoft_Excel_97-2003_Worksheet.xls"/><Relationship Id="rId33" Type="http://schemas.openxmlformats.org/officeDocument/2006/relationships/package" Target="embeddings/Microsoft_Word_Document2.docx"/><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rldefense.proofpoint.com/v2/url?u=https-3A__www.samhsa.gov_&amp;d=DwMFaQ&amp;c=euGZstcaTDllvimEN8b7jXrwqOf-v5A_CdpgnVfiiMM&amp;r=24rRCw5sBT4W5SfbCktWYlHM9vppZusWpSk_ov0VbIcFc7l-LCCg82710pCy5IiA&amp;m=3wjfynIIAx2GwGL5LhFmRmWHR77RdrDGdARZ_XdF5yQ&amp;s=gvuyygZYFQcutuGtJXskUuSGtHOikOtgganqP5eyQZk&amp;e=" TargetMode="External"/><Relationship Id="rId20" Type="http://schemas.openxmlformats.org/officeDocument/2006/relationships/hyperlink" Target="https://urldefense.com/v3/__https:/www.jamanetwork.com/journals/jama__;!!B6dj6w!o04coRGOGqVOZgTR1HmPCt42bJNk7jXA0kLB0rJwzcM9ktV7zY85bdrZLB_7jc7XnAvbV6zqnew$" TargetMode="External"/><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ldefense.com/v3/__http:/www.ncbi.nlm.nih.gov__;!!B6dj6w!o04coRGOGqVOZgTR1HmPCt42bJNk7jXA0kLB0rJwzcM9ktV7zY85bdrZLB_7jc7XnAvbSy6iYg4$" TargetMode="External"/><Relationship Id="rId24" Type="http://schemas.openxmlformats.org/officeDocument/2006/relationships/image" Target="media/image1.emf"/><Relationship Id="rId32" Type="http://schemas.openxmlformats.org/officeDocument/2006/relationships/image" Target="media/image5.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rldefense.com/v3/__https:/www.csis.org/programs/global-health-policy-center/ghpc-videos/resurgence-hiv-american-south__;!!B6dj6w!o04coRGOGqVOZgTR1HmPCt42bJNk7jXA0kLB0rJwzcM9ktV7zY85bdrZLB_7jc7XnAvbkBKYr24$" TargetMode="External"/><Relationship Id="rId23" Type="http://schemas.openxmlformats.org/officeDocument/2006/relationships/hyperlink" Target="http://www.floridahealth.gov/about/sunshine-info/public-records-requests/index.html" TargetMode="External"/><Relationship Id="rId28" Type="http://schemas.openxmlformats.org/officeDocument/2006/relationships/image" Target="media/image3.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urldefense.com/v3/__https:/www.nih.gov/substance-use-disorders-linked-covid-19__;!!B6dj6w!o04coRGOGqVOZgTR1HmPCt42bJNk7jXA0kLB0rJwzcM9ktV7zY85bdrZLB_7jc7XnAvbdPZJQIc$" TargetMode="External"/><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ldefense.com/v3/__http:/www.ncbi.nlm.nih.gov__;!!B6dj6w!o04coRGOGqVOZgTR1HmPCt42bJNk7jXA0kLB0rJwzcM9ktV7zY85bdrZLB_7jc7XnAvbSy6iYg4$" TargetMode="External"/><Relationship Id="rId22" Type="http://schemas.openxmlformats.org/officeDocument/2006/relationships/hyperlink" Target="https://urldefense.com/v3/__https:/www.ama-assn.org/system/files/2020-12/issue-brief-increases-in-opioid-related-overdose.pdf__;!!B6dj6w!o04coRGOGqVOZgTR1HmPCt42bJNk7jXA0kLB0rJwzcM9ktV7zY85bdrZLB_7jc7XnAvbxkxp4uY$" TargetMode="External"/><Relationship Id="rId27" Type="http://schemas.openxmlformats.org/officeDocument/2006/relationships/package" Target="embeddings/Microsoft_Excel_Worksheet.xlsx"/><Relationship Id="rId30" Type="http://schemas.openxmlformats.org/officeDocument/2006/relationships/image" Target="media/image4.emf"/><Relationship Id="rId35" Type="http://schemas.openxmlformats.org/officeDocument/2006/relationships/package" Target="embeddings/Microsoft_Word_Document3.docx"/><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4F33759EE4344C8C86D12E095343AD" ma:contentTypeVersion="4" ma:contentTypeDescription="Create a new document." ma:contentTypeScope="" ma:versionID="45856583684be032fe70b5e10e4e0c30">
  <xsd:schema xmlns:xsd="http://www.w3.org/2001/XMLSchema" xmlns:xs="http://www.w3.org/2001/XMLSchema" xmlns:p="http://schemas.microsoft.com/office/2006/metadata/properties" xmlns:ns2="a74134d7-e473-41e7-9af1-1152207c3bde" xmlns:ns3="8738dba6-9eb7-492e-a7ec-2a6f43aae8f8" targetNamespace="http://schemas.microsoft.com/office/2006/metadata/properties" ma:root="true" ma:fieldsID="9ba08e284d275e3d303e1525babb7841" ns2:_="" ns3:_="">
    <xsd:import namespace="a74134d7-e473-41e7-9af1-1152207c3bde"/>
    <xsd:import namespace="8738dba6-9eb7-492e-a7ec-2a6f43aae8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134d7-e473-41e7-9af1-1152207c3bd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8dba6-9eb7-492e-a7ec-2a6f43aae8f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74FE4B-F9D6-4FB8-A4D2-5C15119EE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134d7-e473-41e7-9af1-1152207c3bde"/>
    <ds:schemaRef ds:uri="8738dba6-9eb7-492e-a7ec-2a6f43aae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55574-CCFC-4E0D-AD89-E5C3A99648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1E0397-81BE-4FB8-9968-64DF7FDEF0CF}">
  <ds:schemaRefs>
    <ds:schemaRef ds:uri="http://schemas.openxmlformats.org/officeDocument/2006/bibliography"/>
  </ds:schemaRefs>
</ds:datastoreItem>
</file>

<file path=customXml/itemProps4.xml><?xml version="1.0" encoding="utf-8"?>
<ds:datastoreItem xmlns:ds="http://schemas.openxmlformats.org/officeDocument/2006/customXml" ds:itemID="{B585EF14-5FD1-4BDB-990D-F361C39A5F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1999</Words>
  <Characters>14042</Characters>
  <Application>Microsoft Office Word</Application>
  <DocSecurity>4</DocSecurity>
  <Lines>117</Lines>
  <Paragraphs>32</Paragraphs>
  <ScaleCrop>false</ScaleCrop>
  <HeadingPairs>
    <vt:vector size="2" baseType="variant">
      <vt:variant>
        <vt:lpstr>Title</vt:lpstr>
      </vt:variant>
      <vt:variant>
        <vt:i4>1</vt:i4>
      </vt:variant>
    </vt:vector>
  </HeadingPairs>
  <TitlesOfParts>
    <vt:vector size="1" baseType="lpstr">
      <vt:lpstr>Generic Memo format</vt:lpstr>
    </vt:vector>
  </TitlesOfParts>
  <Company>Department of Health</Company>
  <LinksUpToDate>false</LinksUpToDate>
  <CharactersWithSpaces>16009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Memo format</dc:title>
  <dc:subject/>
  <dc:creator>donaldsonrx</dc:creator>
  <cp:keywords/>
  <cp:lastModifiedBy>Edwards, Vincent</cp:lastModifiedBy>
  <cp:revision>2</cp:revision>
  <cp:lastPrinted>2018-03-14T14:28:00Z</cp:lastPrinted>
  <dcterms:created xsi:type="dcterms:W3CDTF">2021-02-22T19:46:00Z</dcterms:created>
  <dcterms:modified xsi:type="dcterms:W3CDTF">2021-02-22T19:46:00Z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0x010100994F33759EE4344C8C86D12E095343AD</vt:lpwstr>
  </property>
</Properties>
</file>