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2759"/>
        <w:gridCol w:w="1350"/>
        <w:gridCol w:w="864"/>
        <w:gridCol w:w="846"/>
        <w:gridCol w:w="50"/>
        <w:gridCol w:w="1120"/>
        <w:gridCol w:w="6"/>
        <w:gridCol w:w="667"/>
        <w:gridCol w:w="489"/>
        <w:gridCol w:w="1337"/>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68DD5521"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B04C64">
              <w:rPr>
                <w:rFonts w:ascii="Arial" w:eastAsia="Times New Roman" w:hAnsi="Arial" w:cs="Arial"/>
                <w:b/>
                <w:bCs/>
                <w:noProof/>
                <w:sz w:val="18"/>
                <w:szCs w:val="18"/>
              </w:rPr>
              <w:t>1/5/2023</w:t>
            </w:r>
            <w:r w:rsidRPr="006626A4">
              <w:rPr>
                <w:rFonts w:ascii="Arial" w:eastAsia="Times New Roman" w:hAnsi="Arial" w:cs="Arial"/>
                <w:b/>
                <w:bCs/>
                <w:sz w:val="18"/>
                <w:szCs w:val="18"/>
              </w:rPr>
              <w:fldChar w:fldCharType="end"/>
            </w:r>
          </w:p>
        </w:tc>
      </w:tr>
      <w:tr w:rsidR="006626A4" w:rsidRPr="0010268F" w14:paraId="0EEF57FD" w14:textId="77777777" w:rsidTr="003658BB">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170" w:type="dxa"/>
            <w:gridSpan w:val="2"/>
            <w:vAlign w:val="bottom"/>
          </w:tcPr>
          <w:p w14:paraId="32C0A3E7" w14:textId="7ECBC1E0"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756716392"/>
                <w14:checkbox>
                  <w14:checked w14:val="0"/>
                  <w14:checkedState w14:val="2612" w14:font="MS Gothic"/>
                  <w14:uncheckedState w14:val="2610" w14:font="MS Gothic"/>
                </w14:checkbox>
              </w:sdtPr>
              <w:sdtEndPr/>
              <w:sdtContent>
                <w:r w:rsidR="000F24F2">
                  <w:rPr>
                    <w:rFonts w:ascii="MS Gothic" w:eastAsia="MS Gothic" w:hAnsi="MS Gothic" w:cs="Arial" w:hint="eastAsia"/>
                    <w:sz w:val="18"/>
                    <w:szCs w:val="18"/>
                  </w:rPr>
                  <w:t>☐</w:t>
                </w:r>
              </w:sdtContent>
            </w:sdt>
          </w:p>
        </w:tc>
        <w:tc>
          <w:tcPr>
            <w:tcW w:w="1162" w:type="dxa"/>
            <w:gridSpan w:val="3"/>
            <w:vAlign w:val="bottom"/>
          </w:tcPr>
          <w:p w14:paraId="4F6C5B6C" w14:textId="1418927A" w:rsidR="006626A4" w:rsidRPr="006626A4" w:rsidRDefault="006626A4" w:rsidP="006626A4">
            <w:pPr>
              <w:rPr>
                <w:rFonts w:ascii="Arial" w:hAnsi="Arial" w:cs="Arial"/>
                <w:sz w:val="18"/>
                <w:szCs w:val="18"/>
              </w:rPr>
            </w:pPr>
            <w:r w:rsidRPr="006626A4">
              <w:rPr>
                <w:rFonts w:ascii="Arial" w:hAnsi="Arial" w:cs="Arial"/>
                <w:sz w:val="18"/>
                <w:szCs w:val="18"/>
              </w:rPr>
              <w:t>Revision</w:t>
            </w:r>
            <w:r w:rsidR="003658BB">
              <w:rPr>
                <w:rFonts w:ascii="Arial" w:eastAsia="Times New Roman" w:hAnsi="Arial" w:cs="Arial"/>
                <w:sz w:val="18"/>
                <w:szCs w:val="18"/>
              </w:rPr>
              <w:t xml:space="preserve"> </w:t>
            </w:r>
            <w:sdt>
              <w:sdtPr>
                <w:rPr>
                  <w:rFonts w:ascii="Arial" w:eastAsia="Times New Roman" w:hAnsi="Arial" w:cs="Arial"/>
                  <w:sz w:val="18"/>
                  <w:szCs w:val="18"/>
                </w:rPr>
                <w:id w:val="-2132622727"/>
                <w14:checkbox>
                  <w14:checked w14:val="0"/>
                  <w14:checkedState w14:val="2612" w14:font="MS Gothic"/>
                  <w14:uncheckedState w14:val="2610" w14:font="MS Gothic"/>
                </w14:checkbox>
              </w:sdtPr>
              <w:sdtEndPr/>
              <w:sdtContent>
                <w:r w:rsidR="003658BB" w:rsidRPr="0010268F">
                  <w:rPr>
                    <w:rFonts w:ascii="Segoe UI Symbol" w:eastAsia="Times New Roman" w:hAnsi="Segoe UI Symbol" w:cs="Segoe UI Symbol"/>
                    <w:sz w:val="18"/>
                    <w:szCs w:val="18"/>
                  </w:rPr>
                  <w:t>☐</w:t>
                </w:r>
              </w:sdtContent>
            </w:sdt>
          </w:p>
        </w:tc>
        <w:tc>
          <w:tcPr>
            <w:tcW w:w="1337"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3B5956">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275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5379" w:type="dxa"/>
            <w:gridSpan w:val="8"/>
            <w:vAlign w:val="bottom"/>
          </w:tcPr>
          <w:p w14:paraId="511AA9D5" w14:textId="5168A286" w:rsidR="006626A4" w:rsidRPr="0010268F" w:rsidRDefault="00AB7929" w:rsidP="00713948">
            <w:r w:rsidRPr="006626A4">
              <w:rPr>
                <w:rFonts w:ascii="Arial" w:hAnsi="Arial" w:cs="Arial"/>
                <w:sz w:val="18"/>
                <w:szCs w:val="18"/>
              </w:rPr>
              <w:t>T.</w:t>
            </w:r>
            <w:r w:rsidR="003B5956">
              <w:rPr>
                <w:rFonts w:ascii="Arial" w:hAnsi="Arial" w:cs="Arial"/>
                <w:sz w:val="18"/>
                <w:szCs w:val="18"/>
              </w:rPr>
              <w:t xml:space="preserve"> </w:t>
            </w:r>
            <w:r w:rsidRPr="006626A4">
              <w:rPr>
                <w:rFonts w:ascii="Arial" w:hAnsi="Arial" w:cs="Arial"/>
                <w:sz w:val="18"/>
                <w:szCs w:val="18"/>
              </w:rPr>
              <w:t>Marsh, A.</w:t>
            </w:r>
            <w:r w:rsidR="003B5956">
              <w:rPr>
                <w:rFonts w:ascii="Arial" w:hAnsi="Arial" w:cs="Arial"/>
                <w:sz w:val="18"/>
                <w:szCs w:val="18"/>
              </w:rPr>
              <w:t xml:space="preserve"> </w:t>
            </w:r>
            <w:r w:rsidRPr="006626A4">
              <w:rPr>
                <w:rFonts w:ascii="Arial" w:hAnsi="Arial" w:cs="Arial"/>
                <w:sz w:val="18"/>
                <w:szCs w:val="18"/>
              </w:rPr>
              <w:t>DeVore</w:t>
            </w:r>
            <w:r w:rsidR="00A015AD">
              <w:rPr>
                <w:rFonts w:ascii="Arial" w:hAnsi="Arial" w:cs="Arial"/>
                <w:sz w:val="18"/>
                <w:szCs w:val="18"/>
              </w:rPr>
              <w:t>, S. Sombutmai</w:t>
            </w:r>
            <w:r w:rsidR="00CD487B">
              <w:rPr>
                <w:rFonts w:ascii="Arial" w:hAnsi="Arial" w:cs="Arial"/>
                <w:sz w:val="18"/>
                <w:szCs w:val="18"/>
              </w:rPr>
              <w:t xml:space="preserve">, </w:t>
            </w:r>
            <w:r w:rsidR="00CD487B" w:rsidRPr="006626A4">
              <w:rPr>
                <w:rFonts w:ascii="Arial" w:hAnsi="Arial" w:cs="Arial"/>
                <w:sz w:val="18"/>
                <w:szCs w:val="18"/>
              </w:rPr>
              <w:t>&amp;/or</w:t>
            </w:r>
            <w:r w:rsidR="00CD487B">
              <w:rPr>
                <w:rFonts w:ascii="Arial" w:hAnsi="Arial" w:cs="Arial"/>
                <w:sz w:val="18"/>
                <w:szCs w:val="18"/>
              </w:rPr>
              <w:t xml:space="preserve"> A.</w:t>
            </w:r>
            <w:r w:rsidR="003B5956">
              <w:rPr>
                <w:rFonts w:ascii="Arial" w:hAnsi="Arial" w:cs="Arial"/>
                <w:sz w:val="18"/>
                <w:szCs w:val="18"/>
              </w:rPr>
              <w:t xml:space="preserve"> </w:t>
            </w:r>
            <w:r w:rsidR="00CD487B">
              <w:rPr>
                <w:rFonts w:ascii="Arial" w:hAnsi="Arial" w:cs="Arial"/>
                <w:sz w:val="18"/>
                <w:szCs w:val="18"/>
              </w:rPr>
              <w:t>Flanery</w:t>
            </w:r>
          </w:p>
        </w:tc>
      </w:tr>
    </w:tbl>
    <w:p w14:paraId="44D6A222"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r>
        <w:rPr>
          <w:rFonts w:ascii="Arial" w:eastAsia="Times New Roman" w:hAnsi="Arial" w:cs="Arial"/>
          <w:sz w:val="18"/>
          <w:szCs w:val="18"/>
        </w:rPr>
        <w:tab/>
      </w:r>
    </w:p>
    <w:p w14:paraId="7916D93A" w14:textId="77777777" w:rsidR="00170CF8" w:rsidRDefault="00170CF8" w:rsidP="00170CF8">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FBC DEFINITIONS</w:t>
      </w:r>
    </w:p>
    <w:p w14:paraId="7C986EF7" w14:textId="77777777" w:rsidR="00170CF8" w:rsidRDefault="00170CF8" w:rsidP="00170CF8">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“Interactive water features” </w:t>
      </w:r>
      <w:r>
        <w:rPr>
          <w:rFonts w:ascii="Arial" w:eastAsia="Times New Roman" w:hAnsi="Arial" w:cs="Arial"/>
          <w:sz w:val="18"/>
          <w:szCs w:val="18"/>
        </w:rPr>
        <w:t>means a structure designed to allow for recreational activities with recirculated, filtered, and treated water; but having minimal standing water. Water from the interactive fountain type features is collected by gravity below grade in a collector tank or sump. The water is filtered, disinfected and then pumped to the feature spray discharge heads. The collector tank and water filtration features required make this structure a type of public swimming pool.</w:t>
      </w:r>
    </w:p>
    <w:tbl>
      <w:tblPr>
        <w:tblStyle w:val="TableGrid"/>
        <w:tblW w:w="10795" w:type="dxa"/>
        <w:tblLook w:val="04A0" w:firstRow="1" w:lastRow="0" w:firstColumn="1" w:lastColumn="0" w:noHBand="0" w:noVBand="1"/>
      </w:tblPr>
      <w:tblGrid>
        <w:gridCol w:w="1486"/>
        <w:gridCol w:w="1746"/>
        <w:gridCol w:w="7563"/>
      </w:tblGrid>
      <w:tr w:rsidR="00170CF8" w14:paraId="1383BDDA" w14:textId="77777777" w:rsidTr="00170CF8">
        <w:tc>
          <w:tcPr>
            <w:tcW w:w="1486" w:type="dxa"/>
            <w:tcBorders>
              <w:top w:val="single" w:sz="12" w:space="0" w:color="auto"/>
              <w:left w:val="single" w:sz="4" w:space="0" w:color="auto"/>
              <w:bottom w:val="single" w:sz="18" w:space="0" w:color="auto"/>
              <w:right w:val="single" w:sz="4" w:space="0" w:color="auto"/>
            </w:tcBorders>
            <w:vAlign w:val="bottom"/>
            <w:hideMark/>
          </w:tcPr>
          <w:p w14:paraId="7EE60552"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596703E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600DFBDA" w14:textId="77777777" w:rsidR="00170CF8" w:rsidRDefault="00170CF8">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170CF8" w14:paraId="51E6BC9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0171E0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170CF8" w14:paraId="4642415C"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DED2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E381E6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59F27A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170CF8" w14:paraId="4530F92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236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712D9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05EF37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170CF8" w14:paraId="3241254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D30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44826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0EE8A8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0E9DB6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5373BD70" w14:textId="77777777" w:rsidR="00170CF8" w:rsidRDefault="00170CF8">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1A375D1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58F9ED7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07174F4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24497C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170CF8" w14:paraId="7AB1BC9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3F2D1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170CF8" w14:paraId="265E8741"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0F9C187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726439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09F204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Pr>
                <w:rFonts w:ascii="Arial" w:eastAsia="Times New Roman" w:hAnsi="Arial" w:cs="Arial"/>
                <w:sz w:val="18"/>
                <w:szCs w:val="18"/>
                <w:vertAlign w:val="superscript"/>
              </w:rPr>
              <w:t>2</w:t>
            </w:r>
            <w:r>
              <w:rPr>
                <w:rFonts w:ascii="Arial" w:eastAsia="Times New Roman" w:hAnsi="Arial" w:cs="Arial"/>
                <w:sz w:val="18"/>
                <w:szCs w:val="18"/>
              </w:rPr>
              <w:t>) of surface area, whichever is less. The bathing load for spa type pools shall be based on one person per each 10 square feet (0.9 m</w:t>
            </w:r>
            <w:r>
              <w:rPr>
                <w:rFonts w:ascii="Arial" w:eastAsia="Times New Roman" w:hAnsi="Arial" w:cs="Arial"/>
                <w:sz w:val="18"/>
                <w:szCs w:val="18"/>
                <w:vertAlign w:val="superscript"/>
              </w:rPr>
              <w:t>2</w:t>
            </w:r>
            <w:r>
              <w:rPr>
                <w:rFonts w:ascii="Arial" w:eastAsia="Times New Roman" w:hAnsi="Arial" w:cs="Arial"/>
                <w:sz w:val="18"/>
                <w:szCs w:val="18"/>
              </w:rPr>
              <w:t xml:space="preserve">) of surface area. </w:t>
            </w:r>
            <w:r>
              <w:rPr>
                <w:rFonts w:ascii="Arial" w:eastAsia="Times New Roman" w:hAnsi="Arial" w:cs="Arial"/>
                <w:sz w:val="18"/>
                <w:szCs w:val="18"/>
                <w:u w:val="single"/>
              </w:rPr>
              <w:t>All other types of projects</w:t>
            </w:r>
            <w:r>
              <w:rPr>
                <w:rFonts w:ascii="Arial" w:eastAsia="Times New Roman" w:hAnsi="Arial" w:cs="Arial"/>
                <w:sz w:val="18"/>
                <w:szCs w:val="18"/>
              </w:rPr>
              <w:t xml:space="preserve"> shall be sized according to the anticipated bathing load and proposed uses.</w:t>
            </w:r>
          </w:p>
          <w:p w14:paraId="24A6999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w:t>
            </w:r>
            <w:r>
              <w:rPr>
                <w:rFonts w:ascii="Arial" w:hAnsi="Arial" w:cs="Arial"/>
                <w:sz w:val="18"/>
                <w:szCs w:val="18"/>
              </w:rPr>
              <w:t xml:space="preserve"> CALCULATION </w:t>
            </w:r>
            <w:r>
              <w:rPr>
                <w:rFonts w:ascii="Arial" w:eastAsia="Times New Roman" w:hAnsi="Arial" w:cs="Arial"/>
                <w:sz w:val="18"/>
                <w:szCs w:val="18"/>
              </w:rPr>
              <w:t>STEPS AND EXAMPLES OF SIZING CALCULATIONS FOR TRANSIENT OR NON-TRANSIENT FACILITIES PLEASE SEE APPENDIX A.</w:t>
            </w:r>
          </w:p>
        </w:tc>
      </w:tr>
      <w:tr w:rsidR="00170CF8" w14:paraId="7B25358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777C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FD0E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  Transient</w:t>
            </w:r>
          </w:p>
        </w:tc>
        <w:tc>
          <w:tcPr>
            <w:tcW w:w="7563" w:type="dxa"/>
            <w:tcBorders>
              <w:top w:val="single" w:sz="4" w:space="0" w:color="auto"/>
              <w:left w:val="single" w:sz="4" w:space="0" w:color="auto"/>
              <w:bottom w:val="single" w:sz="4" w:space="0" w:color="auto"/>
              <w:right w:val="single" w:sz="4" w:space="0" w:color="auto"/>
            </w:tcBorders>
            <w:hideMark/>
          </w:tcPr>
          <w:p w14:paraId="2C2B18D7"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0C64C21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5 = Minimum Required Bather Load (For All Pools, Spas, Etc. Combined)</w:t>
            </w:r>
          </w:p>
          <w:p w14:paraId="107648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4BB57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421358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170CF8" w14:paraId="530C07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D8330D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F690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6A1B5F33"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7201EB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7 = Minimum Required Bather Load (For All Pools, Spas, Etc. Combined)</w:t>
            </w:r>
          </w:p>
          <w:p w14:paraId="664812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75EC2A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 Combined)</w:t>
            </w:r>
          </w:p>
          <w:p w14:paraId="003381E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170CF8" w14:paraId="79103C4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78B4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BD5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6F24FD2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gpm of water recirculated.      </w:t>
            </w:r>
          </w:p>
        </w:tc>
      </w:tr>
      <w:tr w:rsidR="00170CF8" w14:paraId="5B24C59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EE610F0"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IWF SPECIFIC REQUIREMENTS</w:t>
            </w:r>
          </w:p>
        </w:tc>
      </w:tr>
      <w:tr w:rsidR="00170CF8" w14:paraId="384C72C3"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CBD1C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83464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6799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1866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EEE0E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18" w:space="0" w:color="auto"/>
              <w:left w:val="single" w:sz="4" w:space="0" w:color="auto"/>
              <w:bottom w:val="single" w:sz="4" w:space="0" w:color="auto"/>
              <w:right w:val="single" w:sz="4" w:space="0" w:color="auto"/>
            </w:tcBorders>
            <w:hideMark/>
          </w:tcPr>
          <w:p w14:paraId="003625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Waters discharged from all fountain or spray features shall not pond on the feature floor but shall flow by gravity through a main drain fitting to a collection system which discharges to a collector tank. </w:t>
            </w:r>
          </w:p>
        </w:tc>
      </w:tr>
      <w:tr w:rsidR="00170CF8" w14:paraId="73F6EE7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DB6E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3571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92220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525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A78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5A8D25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size of the collector tank shall be equal to the volume of 3 minutes of the combined flow of all feature pumps and the filter pump. Smaller tanks may be utilized if hydraulically justified by the design engineer.</w:t>
            </w:r>
          </w:p>
        </w:tc>
      </w:tr>
      <w:tr w:rsidR="00170CF8" w14:paraId="720A7F7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2734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5625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36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7944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1EBA2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w:t>
            </w:r>
          </w:p>
        </w:tc>
        <w:tc>
          <w:tcPr>
            <w:tcW w:w="7563" w:type="dxa"/>
            <w:tcBorders>
              <w:top w:val="single" w:sz="4" w:space="0" w:color="auto"/>
              <w:left w:val="single" w:sz="4" w:space="0" w:color="auto"/>
              <w:bottom w:val="single" w:sz="4" w:space="0" w:color="auto"/>
              <w:right w:val="single" w:sz="4" w:space="0" w:color="auto"/>
            </w:tcBorders>
            <w:hideMark/>
          </w:tcPr>
          <w:p w14:paraId="1FD9652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access shall be provided to the sump or collector tank. Stairs or a ladder shall be provided as needed to ensure safe entry into the tank.</w:t>
            </w:r>
          </w:p>
        </w:tc>
      </w:tr>
      <w:tr w:rsidR="00170CF8" w14:paraId="5D6F06B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C964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17F2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45AD87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D3175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minimum of 12.56 square inches (8,103 mm</w:t>
            </w:r>
            <w:r>
              <w:rPr>
                <w:rFonts w:ascii="Arial" w:eastAsia="Times New Roman" w:hAnsi="Arial" w:cs="Arial"/>
                <w:sz w:val="18"/>
                <w:szCs w:val="18"/>
                <w:vertAlign w:val="superscript"/>
              </w:rPr>
              <w:t>2</w:t>
            </w:r>
            <w:r>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170CF8" w14:paraId="4CF2BB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613C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5111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950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1268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691F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33DD54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Chemical feeders shall be in accordance with Section 454.1.6.5; except that the disinfection feeder shall be capable of feeding 12 ppm of free chlorine to the pressure side of the recirculation system or the collector tank (based upon a hypothetical 30-minute turnover of the contained volume within the system). </w:t>
            </w:r>
          </w:p>
        </w:tc>
      </w:tr>
      <w:tr w:rsidR="00170CF8" w14:paraId="59842B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702B6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493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91032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87214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376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117891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installed to assist in maintaining proper disinfection and pH levels.</w:t>
            </w:r>
          </w:p>
        </w:tc>
      </w:tr>
      <w:tr w:rsidR="00170CF8" w14:paraId="51798A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73D99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5879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6830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09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6FC0E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43488DE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3 footcandles (30 lux) of light shall be provided on the pool deck and the water feature area. For IWF’s that are operated with attendants or lifeguards, 3 footcandles (30 lux) of light is acceptable.</w:t>
            </w:r>
          </w:p>
        </w:tc>
      </w:tr>
      <w:tr w:rsidR="00170CF8" w14:paraId="1A07716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EC31C54"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596140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58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81613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229576"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454.1.9.8.5</w:t>
            </w:r>
          </w:p>
        </w:tc>
        <w:tc>
          <w:tcPr>
            <w:tcW w:w="7563" w:type="dxa"/>
            <w:tcBorders>
              <w:top w:val="single" w:sz="4" w:space="0" w:color="auto"/>
              <w:left w:val="single" w:sz="4" w:space="0" w:color="auto"/>
              <w:bottom w:val="single" w:sz="4" w:space="0" w:color="auto"/>
              <w:right w:val="single" w:sz="4" w:space="0" w:color="auto"/>
            </w:tcBorders>
            <w:hideMark/>
          </w:tcPr>
          <w:p w14:paraId="6FCCACA0"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All electrical work shall comply with Chapter 27 of the Florida Building Code, Building.  </w:t>
            </w:r>
            <w:r>
              <w:rPr>
                <w:rFonts w:ascii="Arial" w:eastAsia="Times New Roman" w:hAnsi="Arial" w:cs="Arial"/>
                <w:b/>
                <w:sz w:val="18"/>
                <w:szCs w:val="18"/>
                <w:highlight w:val="lightGray"/>
              </w:rPr>
              <w:t>*TO BE REVIEWED BY BUILDING DEPT.</w:t>
            </w:r>
          </w:p>
        </w:tc>
      </w:tr>
      <w:tr w:rsidR="00170CF8" w14:paraId="035C7F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A958E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127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7816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0463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940B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w:t>
            </w:r>
          </w:p>
        </w:tc>
        <w:tc>
          <w:tcPr>
            <w:tcW w:w="7563" w:type="dxa"/>
            <w:tcBorders>
              <w:top w:val="single" w:sz="4" w:space="0" w:color="auto"/>
              <w:left w:val="single" w:sz="4" w:space="0" w:color="auto"/>
              <w:bottom w:val="single" w:sz="4" w:space="0" w:color="auto"/>
              <w:right w:val="single" w:sz="4" w:space="0" w:color="auto"/>
            </w:tcBorders>
            <w:hideMark/>
          </w:tcPr>
          <w:p w14:paraId="3899E7C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recirculation rate is based off a maximum turnover rate of 30 minutes. </w:t>
            </w:r>
          </w:p>
        </w:tc>
      </w:tr>
      <w:tr w:rsidR="00170CF8" w14:paraId="6AE37D8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85C85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27657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7941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6785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628F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w:t>
            </w:r>
          </w:p>
        </w:tc>
        <w:tc>
          <w:tcPr>
            <w:tcW w:w="7563" w:type="dxa"/>
            <w:tcBorders>
              <w:top w:val="single" w:sz="4" w:space="0" w:color="auto"/>
              <w:left w:val="single" w:sz="4" w:space="0" w:color="auto"/>
              <w:bottom w:val="single" w:sz="4" w:space="0" w:color="auto"/>
              <w:right w:val="single" w:sz="4" w:space="0" w:color="auto"/>
            </w:tcBorders>
            <w:hideMark/>
          </w:tcPr>
          <w:p w14:paraId="091AF9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(100%) of the water from the collector tank must be first filtered, treated by an NSF Standard 50 certified UV disinfection unit with a minimum 40 mJ/cm</w:t>
            </w:r>
            <w:r>
              <w:rPr>
                <w:rFonts w:ascii="Arial" w:eastAsia="Times New Roman" w:hAnsi="Arial" w:cs="Arial"/>
                <w:sz w:val="18"/>
                <w:szCs w:val="18"/>
                <w:vertAlign w:val="superscript"/>
              </w:rPr>
              <w:t>2</w:t>
            </w:r>
            <w:r>
              <w:rPr>
                <w:rFonts w:ascii="Arial" w:eastAsia="Times New Roman" w:hAnsi="Arial" w:cs="Arial"/>
                <w:sz w:val="18"/>
                <w:szCs w:val="18"/>
              </w:rPr>
              <w:t xml:space="preserve"> dose, and then final treatment provided by disinfectant adjustment chemicals before any of this treated water is piped to the water features.</w:t>
            </w:r>
          </w:p>
        </w:tc>
      </w:tr>
      <w:tr w:rsidR="00170CF8" w14:paraId="766D683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4532A1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73812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6594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599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8369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454.1.9.8.2</w:t>
            </w:r>
          </w:p>
        </w:tc>
        <w:tc>
          <w:tcPr>
            <w:tcW w:w="7563" w:type="dxa"/>
            <w:tcBorders>
              <w:top w:val="single" w:sz="4" w:space="0" w:color="auto"/>
              <w:left w:val="single" w:sz="4" w:space="0" w:color="auto"/>
              <w:bottom w:val="single" w:sz="4" w:space="0" w:color="auto"/>
              <w:right w:val="single" w:sz="4" w:space="0" w:color="auto"/>
            </w:tcBorders>
            <w:hideMark/>
          </w:tcPr>
          <w:p w14:paraId="4D70AB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the design above and the alternative below: excess water not required by the water features shall be returned to the collector tank; the recirculation system shall be sized to treat the contained volume of water based upon a 30 minute turnover with a chlorine feeder/generator capable of producing a dosage of at least 12 ppm; and the UV disinfection equipment shall be electrically interconnected such that whenever it fails to produce the required UV dosage, the water spray features pump(s) and flow will be immediately stopped.</w:t>
            </w:r>
          </w:p>
        </w:tc>
      </w:tr>
      <w:tr w:rsidR="00170CF8" w14:paraId="14CEA2D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43C3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615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2908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0878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BE1D5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w:t>
            </w:r>
          </w:p>
        </w:tc>
        <w:tc>
          <w:tcPr>
            <w:tcW w:w="7563" w:type="dxa"/>
            <w:tcBorders>
              <w:top w:val="single" w:sz="4" w:space="0" w:color="auto"/>
              <w:left w:val="single" w:sz="4" w:space="0" w:color="auto"/>
              <w:bottom w:val="single" w:sz="4" w:space="0" w:color="auto"/>
              <w:right w:val="single" w:sz="4" w:space="0" w:color="auto"/>
            </w:tcBorders>
            <w:hideMark/>
          </w:tcPr>
          <w:p w14:paraId="6078C9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lieu of Section 454.1.9.8.6.1, the recirculation system must be designed to continuously return 100% of the water to the collector tank after all (100%) of the water is first filtered, treated by a validated UV disinfection unit with a minimum 40 mJ/cm</w:t>
            </w:r>
            <w:r>
              <w:rPr>
                <w:rFonts w:ascii="Arial" w:eastAsia="Times New Roman" w:hAnsi="Arial" w:cs="Arial"/>
                <w:sz w:val="18"/>
                <w:szCs w:val="18"/>
                <w:vertAlign w:val="superscript"/>
              </w:rPr>
              <w:t>2</w:t>
            </w:r>
            <w:r>
              <w:rPr>
                <w:rFonts w:ascii="Arial" w:eastAsia="Times New Roman" w:hAnsi="Arial" w:cs="Arial"/>
                <w:sz w:val="18"/>
                <w:szCs w:val="18"/>
              </w:rPr>
              <w:t xml:space="preserve"> dose described in Section 454.1.6.5.16.6, on each feature pump, and then final treatment with disinfectant and pH adjustment chemicals; before any of this treated water is piped to the water features. UV flow capacity must meet the feature pump(s) flow capacity.</w:t>
            </w:r>
          </w:p>
        </w:tc>
      </w:tr>
      <w:tr w:rsidR="00170CF8" w14:paraId="2AE5E3C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64A5A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856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92492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036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8E950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454.1.9.8.4</w:t>
            </w:r>
          </w:p>
        </w:tc>
        <w:tc>
          <w:tcPr>
            <w:tcW w:w="7563" w:type="dxa"/>
            <w:tcBorders>
              <w:top w:val="single" w:sz="4" w:space="0" w:color="auto"/>
              <w:left w:val="single" w:sz="4" w:space="0" w:color="auto"/>
              <w:bottom w:val="single" w:sz="4" w:space="0" w:color="auto"/>
              <w:right w:val="single" w:sz="4" w:space="0" w:color="auto"/>
            </w:tcBorders>
            <w:hideMark/>
          </w:tcPr>
          <w:p w14:paraId="61F90FF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the feature nozzles of the water features shall be such as not to harm the patrons and shall not exceed 20 feet per second (6,096 mm/s) unless justified by the design engineer and by the fountain system manufacturer.</w:t>
            </w:r>
          </w:p>
        </w:tc>
      </w:tr>
      <w:tr w:rsidR="00170CF8" w14:paraId="43C1481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05FFE7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3482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4223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14349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B300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454.1.9.8.5</w:t>
            </w:r>
          </w:p>
        </w:tc>
        <w:tc>
          <w:tcPr>
            <w:tcW w:w="7563" w:type="dxa"/>
            <w:tcBorders>
              <w:top w:val="single" w:sz="4" w:space="0" w:color="auto"/>
              <w:left w:val="single" w:sz="4" w:space="0" w:color="auto"/>
              <w:bottom w:val="single" w:sz="4" w:space="0" w:color="auto"/>
              <w:right w:val="single" w:sz="4" w:space="0" w:color="auto"/>
            </w:tcBorders>
            <w:hideMark/>
          </w:tcPr>
          <w:p w14:paraId="271DF809" w14:textId="77777777" w:rsidR="00170CF8" w:rsidRDefault="00170CF8">
            <w:pPr>
              <w:rPr>
                <w:rFonts w:ascii="Arial" w:eastAsia="Times New Roman" w:hAnsi="Arial" w:cs="Arial"/>
                <w:sz w:val="18"/>
                <w:szCs w:val="18"/>
              </w:rPr>
            </w:pPr>
            <w:r>
              <w:rPr>
                <w:rFonts w:ascii="Arial" w:eastAsia="Times New Roman" w:hAnsi="Arial" w:cs="Arial"/>
                <w:sz w:val="18"/>
                <w:szCs w:val="18"/>
              </w:rPr>
              <w:t>An automatic water level controller shall be provided.</w:t>
            </w:r>
          </w:p>
        </w:tc>
      </w:tr>
      <w:tr w:rsidR="00170CF8" w14:paraId="3EB93DC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F8480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86613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3228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844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EFA63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w:t>
            </w:r>
          </w:p>
        </w:tc>
        <w:tc>
          <w:tcPr>
            <w:tcW w:w="7563" w:type="dxa"/>
            <w:tcBorders>
              <w:top w:val="single" w:sz="4" w:space="0" w:color="auto"/>
              <w:left w:val="single" w:sz="4" w:space="0" w:color="auto"/>
              <w:bottom w:val="single" w:sz="4" w:space="0" w:color="auto"/>
              <w:right w:val="single" w:sz="4" w:space="0" w:color="auto"/>
            </w:tcBorders>
            <w:hideMark/>
          </w:tcPr>
          <w:p w14:paraId="5FC90B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overfill waste line with air gap shall be provided.</w:t>
            </w:r>
          </w:p>
        </w:tc>
      </w:tr>
      <w:tr w:rsidR="00170CF8" w14:paraId="5432B91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38499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951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2774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19244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817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w:t>
            </w:r>
          </w:p>
        </w:tc>
        <w:tc>
          <w:tcPr>
            <w:tcW w:w="7563" w:type="dxa"/>
            <w:tcBorders>
              <w:top w:val="single" w:sz="4" w:space="0" w:color="auto"/>
              <w:left w:val="single" w:sz="4" w:space="0" w:color="auto"/>
              <w:bottom w:val="single" w:sz="4" w:space="0" w:color="auto"/>
              <w:right w:val="single" w:sz="4" w:space="0" w:color="auto"/>
            </w:tcBorders>
            <w:hideMark/>
          </w:tcPr>
          <w:p w14:paraId="5E85F5C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means of vacuuming and completely draining the tank(s) shall be provided.</w:t>
            </w:r>
          </w:p>
        </w:tc>
      </w:tr>
      <w:tr w:rsidR="00170CF8" w14:paraId="4B22F07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8F4AE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5803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240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387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0C5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454.1.9.8.9</w:t>
            </w:r>
          </w:p>
        </w:tc>
        <w:tc>
          <w:tcPr>
            <w:tcW w:w="7563" w:type="dxa"/>
            <w:tcBorders>
              <w:top w:val="single" w:sz="4" w:space="0" w:color="auto"/>
              <w:left w:val="single" w:sz="4" w:space="0" w:color="auto"/>
              <w:bottom w:val="single" w:sz="4" w:space="0" w:color="auto"/>
              <w:right w:val="single" w:sz="4" w:space="0" w:color="auto"/>
            </w:tcBorders>
            <w:hideMark/>
          </w:tcPr>
          <w:p w14:paraId="6D254DB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IWF’s shall be fenced in the same fashion as wading pools as noted in Section 454.1.7.7. Where the walking distance is at least 50 feet (15,240 mm) between the IWF and all other pools and the IWF is not designed to have any standing water, fencing requirements should </w:t>
            </w:r>
            <w:r>
              <w:rPr>
                <w:rFonts w:ascii="Arial" w:eastAsia="Times New Roman" w:hAnsi="Arial" w:cs="Arial"/>
                <w:sz w:val="18"/>
                <w:szCs w:val="18"/>
              </w:rPr>
              <w:lastRenderedPageBreak/>
              <w:t>be carefully considered by the applicant to control usage but are not required by rule. Effective barriers that are designed to define the walking path shall be subject to review and approval by the department.</w:t>
            </w:r>
          </w:p>
        </w:tc>
      </w:tr>
      <w:tr w:rsidR="00170CF8" w14:paraId="302C46A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67106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29789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75897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797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1689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454.1.9.8.10</w:t>
            </w:r>
          </w:p>
        </w:tc>
        <w:tc>
          <w:tcPr>
            <w:tcW w:w="7563" w:type="dxa"/>
            <w:tcBorders>
              <w:top w:val="single" w:sz="4" w:space="0" w:color="auto"/>
              <w:left w:val="single" w:sz="4" w:space="0" w:color="auto"/>
              <w:bottom w:val="single" w:sz="4" w:space="0" w:color="auto"/>
              <w:right w:val="single" w:sz="4" w:space="0" w:color="auto"/>
            </w:tcBorders>
            <w:hideMark/>
          </w:tcPr>
          <w:p w14:paraId="40985CC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4-foot-wide (1,219 mm) wet deck area shall be provided around all IWF’s. The wet deck shall meet the requirements of Section 454.1.2.2.3; however, up to 50% of the perimeter may be obstructed.</w:t>
            </w:r>
          </w:p>
        </w:tc>
      </w:tr>
      <w:tr w:rsidR="00170CF8" w14:paraId="0B74209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D9FB1B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4699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10642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6845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7177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454.1.9.8.11</w:t>
            </w:r>
          </w:p>
        </w:tc>
        <w:tc>
          <w:tcPr>
            <w:tcW w:w="7563" w:type="dxa"/>
            <w:tcBorders>
              <w:top w:val="single" w:sz="4" w:space="0" w:color="auto"/>
              <w:left w:val="single" w:sz="4" w:space="0" w:color="auto"/>
              <w:bottom w:val="single" w:sz="4" w:space="0" w:color="auto"/>
              <w:right w:val="single" w:sz="4" w:space="0" w:color="auto"/>
            </w:tcBorders>
            <w:hideMark/>
          </w:tcPr>
          <w:p w14:paraId="3608D22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IWF’s shall be constructed of concrete or other impervious and structurally rigid material.</w:t>
            </w:r>
          </w:p>
        </w:tc>
      </w:tr>
      <w:tr w:rsidR="00170CF8" w14:paraId="094E1DB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3916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78454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9172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08228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D237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454.1.9.8.12</w:t>
            </w:r>
          </w:p>
        </w:tc>
        <w:tc>
          <w:tcPr>
            <w:tcW w:w="7563" w:type="dxa"/>
            <w:tcBorders>
              <w:top w:val="single" w:sz="4" w:space="0" w:color="auto"/>
              <w:left w:val="single" w:sz="4" w:space="0" w:color="auto"/>
              <w:bottom w:val="single" w:sz="4" w:space="0" w:color="auto"/>
              <w:right w:val="single" w:sz="4" w:space="0" w:color="auto"/>
            </w:tcBorders>
            <w:hideMark/>
          </w:tcPr>
          <w:p w14:paraId="01071F7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slopes of an IWF shall be a maximum 1 foot (305 mm) vertical in 10 feet (3,048 mm) horizontal and a minimum of 1 foot (305 mm) vertical in 60 feet (18,288 mm) horizontal.</w:t>
            </w:r>
          </w:p>
        </w:tc>
      </w:tr>
      <w:tr w:rsidR="00170CF8" w14:paraId="1B75B45F"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4D71CB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SIGNAGE AND RULE REQUIREMENTS</w:t>
            </w:r>
          </w:p>
        </w:tc>
      </w:tr>
      <w:tr w:rsidR="00170CF8" w14:paraId="424B39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9563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1577E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DA4B1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IWF as required in the bathing rules.</w:t>
            </w:r>
          </w:p>
        </w:tc>
      </w:tr>
      <w:tr w:rsidR="00170CF8" w14:paraId="586FB51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E4F50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9845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18ADA3C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IWF rules sign is at least 1" high (25.4 mm).</w:t>
            </w:r>
          </w:p>
        </w:tc>
      </w:tr>
      <w:tr w:rsidR="00170CF8" w14:paraId="4F45DF81"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0834A5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7C79F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454.1.9.8.13; 454.1.2.3.5</w:t>
            </w:r>
          </w:p>
        </w:tc>
        <w:tc>
          <w:tcPr>
            <w:tcW w:w="7563" w:type="dxa"/>
            <w:tcBorders>
              <w:top w:val="single" w:sz="4" w:space="0" w:color="auto"/>
              <w:left w:val="single" w:sz="4" w:space="0" w:color="auto"/>
              <w:bottom w:val="single" w:sz="18" w:space="0" w:color="auto"/>
              <w:right w:val="single" w:sz="4" w:space="0" w:color="auto"/>
            </w:tcBorders>
            <w:hideMark/>
          </w:tcPr>
          <w:p w14:paraId="203759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IWF deck:</w:t>
            </w:r>
          </w:p>
          <w:p w14:paraId="0681330A" w14:textId="35B64A84"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IWF OR ON IWF WET DECK. </w:t>
            </w:r>
            <w:r w:rsidR="001816F8" w:rsidRPr="000F24F2">
              <w:rPr>
                <w:rFonts w:ascii="Arial" w:eastAsia="Times New Roman" w:hAnsi="Arial" w:cs="Arial"/>
                <w:b/>
                <w:bCs/>
                <w:sz w:val="18"/>
                <w:szCs w:val="18"/>
              </w:rPr>
              <w:t>COMMERCIALLY BOTTLED WATER IN PLASTIC BOTTLES IS ALLOWED ON THE POOL WET DECK FOR POOL PATRON HYDRATION.</w:t>
            </w:r>
            <w:r w:rsidR="001816F8">
              <w:rPr>
                <w:rFonts w:ascii="Arial" w:eastAsia="Times New Roman" w:hAnsi="Arial" w:cs="Arial"/>
                <w:sz w:val="18"/>
                <w:szCs w:val="18"/>
              </w:rPr>
              <w:t xml:space="preserve">  </w:t>
            </w:r>
          </w:p>
          <w:p w14:paraId="258FAF9F" w14:textId="77777777"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IWF AREA (OR 50 FEET (15,240 MM) FROM UNFENCED IWF).</w:t>
            </w:r>
            <w:r>
              <w:rPr>
                <w:rFonts w:ascii="Arial" w:eastAsia="Times New Roman" w:hAnsi="Arial" w:cs="Arial"/>
                <w:sz w:val="18"/>
                <w:szCs w:val="18"/>
              </w:rPr>
              <w:t xml:space="preserve">   </w:t>
            </w:r>
          </w:p>
          <w:p w14:paraId="145127F4"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0876702B"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IWF hours if the IWF is not certified for night usage)</w:t>
            </w:r>
          </w:p>
          <w:p w14:paraId="42B9E1C3" w14:textId="77777777" w:rsidR="00170CF8" w:rsidRDefault="00170CF8">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7016BBE5" w14:textId="77777777" w:rsidR="00170CF8" w:rsidRDefault="00170CF8">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 xml:space="preserve">6. </w:t>
            </w:r>
            <w:r>
              <w:rPr>
                <w:rFonts w:ascii="Arial" w:eastAsia="Times New Roman" w:hAnsi="Arial" w:cs="Arial"/>
                <w:b/>
                <w:bCs/>
                <w:sz w:val="18"/>
                <w:szCs w:val="18"/>
              </w:rPr>
              <w:t>DO NOT SWALLOW THE FOUNTAIN WATER, IT IS RECIRCULATED.</w:t>
            </w:r>
          </w:p>
          <w:p w14:paraId="33333A07" w14:textId="77777777" w:rsidR="00170CF8" w:rsidRDefault="00170CF8">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 xml:space="preserve">7. </w:t>
            </w:r>
            <w:r>
              <w:rPr>
                <w:rFonts w:ascii="Arial" w:eastAsia="Times New Roman" w:hAnsi="Arial" w:cs="Arial"/>
                <w:b/>
                <w:bCs/>
                <w:sz w:val="18"/>
                <w:szCs w:val="18"/>
              </w:rPr>
              <w:t>DO NOT USE FOUNTAIN IF YOU ARE ILL WITH DIARRHEA.</w:t>
            </w:r>
          </w:p>
        </w:tc>
      </w:tr>
      <w:tr w:rsidR="00170CF8" w14:paraId="73F1981E"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69C4436"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APPURTENANCES</w:t>
            </w:r>
          </w:p>
        </w:tc>
      </w:tr>
      <w:tr w:rsidR="00170CF8" w14:paraId="4778B689"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65A2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40C36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454.1.3.1.1</w:t>
            </w:r>
          </w:p>
        </w:tc>
        <w:tc>
          <w:tcPr>
            <w:tcW w:w="7563" w:type="dxa"/>
            <w:tcBorders>
              <w:top w:val="single" w:sz="18" w:space="0" w:color="auto"/>
              <w:left w:val="single" w:sz="4" w:space="0" w:color="auto"/>
              <w:bottom w:val="single" w:sz="4" w:space="0" w:color="auto"/>
              <w:right w:val="single" w:sz="4" w:space="0" w:color="auto"/>
            </w:tcBorders>
            <w:hideMark/>
          </w:tcPr>
          <w:p w14:paraId="73881AC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IWF wet decks shall be constructed of concrete or other nonabsorbent material having a smooth slip resistant finish. Wet deck area finishes shall be designed for such use and shall be installed in accordance with the manufacturer’s specifications. </w:t>
            </w:r>
            <w:r>
              <w:rPr>
                <w:rFonts w:ascii="Arial" w:eastAsia="Times New Roman" w:hAnsi="Arial" w:cs="Arial"/>
                <w:i/>
                <w:iCs/>
                <w:sz w:val="18"/>
                <w:szCs w:val="18"/>
              </w:rPr>
              <w:t>Wooden decks and walkways are prohibited.</w:t>
            </w:r>
          </w:p>
        </w:tc>
      </w:tr>
      <w:tr w:rsidR="00170CF8" w14:paraId="0000134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FF89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3985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454.1.3.1.1</w:t>
            </w:r>
          </w:p>
        </w:tc>
        <w:tc>
          <w:tcPr>
            <w:tcW w:w="7563" w:type="dxa"/>
            <w:tcBorders>
              <w:top w:val="single" w:sz="4" w:space="0" w:color="auto"/>
              <w:left w:val="single" w:sz="4" w:space="0" w:color="auto"/>
              <w:bottom w:val="single" w:sz="4" w:space="0" w:color="auto"/>
              <w:right w:val="single" w:sz="4" w:space="0" w:color="auto"/>
            </w:tcBorders>
            <w:hideMark/>
          </w:tcPr>
          <w:p w14:paraId="23B208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wet decks shall be uniformly sloped away from the pool or to deck drains to prevent standing water.</w:t>
            </w:r>
          </w:p>
        </w:tc>
      </w:tr>
      <w:tr w:rsidR="00170CF8" w14:paraId="37AFA5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DF021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3F00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2C042F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 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170CF8" w14:paraId="48499B7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85D1E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754D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4A1FFD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170CF8" w14:paraId="0AAC0EA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DDAA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D27B3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454.1.3.1.2</w:t>
            </w:r>
          </w:p>
        </w:tc>
        <w:tc>
          <w:tcPr>
            <w:tcW w:w="7563" w:type="dxa"/>
            <w:tcBorders>
              <w:top w:val="single" w:sz="4" w:space="0" w:color="auto"/>
              <w:left w:val="single" w:sz="4" w:space="0" w:color="auto"/>
              <w:bottom w:val="single" w:sz="4" w:space="0" w:color="auto"/>
              <w:right w:val="single" w:sz="4" w:space="0" w:color="auto"/>
            </w:tcBorders>
            <w:hideMark/>
          </w:tcPr>
          <w:p w14:paraId="09CCA39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170CF8" w14:paraId="3AE95C1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5BAE4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E669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454.1.9.8.6.10; 454.1.3.1.4</w:t>
            </w:r>
          </w:p>
        </w:tc>
        <w:tc>
          <w:tcPr>
            <w:tcW w:w="7563" w:type="dxa"/>
            <w:tcBorders>
              <w:top w:val="single" w:sz="4" w:space="0" w:color="auto"/>
              <w:left w:val="single" w:sz="4" w:space="0" w:color="auto"/>
              <w:bottom w:val="single" w:sz="4" w:space="0" w:color="auto"/>
              <w:right w:val="single" w:sz="4" w:space="0" w:color="auto"/>
            </w:tcBorders>
            <w:hideMark/>
          </w:tcPr>
          <w:p w14:paraId="3B6C0AD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170CF8" w14:paraId="19D56D4C"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7E7A6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29B2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5AB2D65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170CF8" w14:paraId="36E498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CECC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77CA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63C5D0B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170CF8" w14:paraId="6B734AE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9C38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E2E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1D3A95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170CF8" w14:paraId="266958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0EB18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BD67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4" w:space="0" w:color="auto"/>
              <w:right w:val="single" w:sz="4" w:space="0" w:color="auto"/>
            </w:tcBorders>
            <w:hideMark/>
          </w:tcPr>
          <w:p w14:paraId="5C46E26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IWF deck shall be at least 7 feet (2,137 mm).</w:t>
            </w:r>
          </w:p>
        </w:tc>
      </w:tr>
      <w:tr w:rsidR="00170CF8" w14:paraId="0700F2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7D84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63478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3FBB142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170CF8" w14:paraId="6E2F929E"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A60829B"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37F53B1"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76BA8FE7"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w:t>
            </w:r>
            <w:r>
              <w:rPr>
                <w:rFonts w:ascii="Arial" w:eastAsia="Times New Roman" w:hAnsi="Arial" w:cs="Arial"/>
                <w:sz w:val="18"/>
                <w:szCs w:val="18"/>
                <w:highlight w:val="lightGray"/>
              </w:rPr>
              <w:lastRenderedPageBreak/>
              <w:t xml:space="preserve">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170CF8" w14:paraId="75F586F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218A16C"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WIRING/ELECTRICAL REQUIREMENTS</w:t>
            </w:r>
          </w:p>
        </w:tc>
      </w:tr>
      <w:tr w:rsidR="00170CF8" w14:paraId="3F6CCB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47D70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0CFA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01FA342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6AF55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170CF8" w14:paraId="56EA8208"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4BD657C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8F2030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776ACA94" w14:textId="77777777" w:rsidR="00170CF8" w:rsidRDefault="00170CF8">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170CF8" w14:paraId="632B9EC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D8B46E4"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170CF8" w14:paraId="04DF3DA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B77EF9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33075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552198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170CF8" w14:paraId="154DF7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34CA1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D145E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074362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must be coated to protect it from ultraviolet light degradation.</w:t>
            </w:r>
          </w:p>
        </w:tc>
      </w:tr>
      <w:tr w:rsidR="00170CF8" w14:paraId="45D9F4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B2BC67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A69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524BED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170CF8" w14:paraId="5425665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57C8E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7E130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4DABD5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170CF8" w14:paraId="0D90FC6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D406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12CF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AA9C2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170CF8" w14:paraId="4038FFF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30379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D06C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58F1683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170CF8" w14:paraId="30A31C4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5C19B9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7A2A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CB396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170CF8" w14:paraId="37B0F1D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818C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B55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15173DF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170CF8" w14:paraId="70B660A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A39A4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69EBC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6A87A44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170CF8" w14:paraId="5A6EDA2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FA7DD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D961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7F8989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170CF8" w14:paraId="13F6A06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9B34A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FFB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796EC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170CF8" w14:paraId="5EACDCC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734E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9C427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AEB0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170CF8" w14:paraId="5BCCC9B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89F4B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20AC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3A8357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170CF8" w14:paraId="08006E5B"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6250D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C3EA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5F1371C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170CF8" w14:paraId="01A0873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396601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F133B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6258BEE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170CF8" w14:paraId="151716C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66F7C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15A2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1F04C57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170CF8" w14:paraId="191DA33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D0C56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30D6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39AF67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170CF8" w14:paraId="7CB261F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10B70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F7851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08BAAE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170CF8" w14:paraId="5D999E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264EF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533100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22F9A0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vacuum breaker shall be located in the equipment room or area.</w:t>
            </w:r>
          </w:p>
        </w:tc>
      </w:tr>
      <w:tr w:rsidR="00170CF8" w14:paraId="12E09C4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95F94E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170CF8" w14:paraId="25325F1B"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DD7AC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60475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54177B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23EBB95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170CF8" w14:paraId="56DCC35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7745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A3F7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57523509" w14:textId="77777777" w:rsidR="00170CF8" w:rsidRDefault="00170CF8">
            <w:pPr>
              <w:tabs>
                <w:tab w:val="left" w:pos="6480"/>
                <w:tab w:val="left" w:pos="7920"/>
                <w:tab w:val="left" w:pos="8370"/>
              </w:tabs>
              <w:spacing w:beforeAutospacing="0" w:after="80"/>
            </w:pPr>
            <w:r>
              <w:rPr>
                <w:rFonts w:ascii="Arial" w:eastAsia="Times New Roman" w:hAnsi="Arial" w:cs="Arial"/>
                <w:sz w:val="18"/>
                <w:szCs w:val="18"/>
              </w:rPr>
              <w:t>Sanitary facilities: Swimming pools with a bathing load of 20 persons or less may utilize a unisex restroom.</w:t>
            </w:r>
            <w:r>
              <w:t xml:space="preserve"> </w:t>
            </w:r>
          </w:p>
          <w:p w14:paraId="07C976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170CF8" w14:paraId="017ECE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E3DDD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55573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2300CF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712708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170CF8" w14:paraId="183B660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8BC4C4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C78C3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045A53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Pools with a bathing load larger than 40 persons shall provide separate sanitary facilities labeled for each sex</w:t>
            </w:r>
          </w:p>
        </w:tc>
      </w:tr>
      <w:tr w:rsidR="00170CF8" w14:paraId="7A56EC3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9C6E4D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4566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77122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170CF8" w14:paraId="24DA5A3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AFEFC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8FDA8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170CF8" w14:paraId="7818F58D" w14:textId="77777777">
              <w:tc>
                <w:tcPr>
                  <w:tcW w:w="7891" w:type="dxa"/>
                  <w:gridSpan w:val="6"/>
                  <w:tcBorders>
                    <w:top w:val="single" w:sz="4" w:space="0" w:color="auto"/>
                    <w:left w:val="single" w:sz="4" w:space="0" w:color="auto"/>
                    <w:bottom w:val="single" w:sz="4" w:space="0" w:color="auto"/>
                    <w:right w:val="single" w:sz="4" w:space="0" w:color="auto"/>
                  </w:tcBorders>
                  <w:hideMark/>
                </w:tcPr>
                <w:p w14:paraId="0CBE358C" w14:textId="77777777" w:rsidR="00170CF8" w:rsidRDefault="00170CF8">
                  <w:pPr>
                    <w:spacing w:after="80"/>
                    <w:jc w:val="center"/>
                    <w:rPr>
                      <w:b/>
                      <w:sz w:val="18"/>
                      <w:szCs w:val="18"/>
                    </w:rPr>
                  </w:pPr>
                  <w:r>
                    <w:rPr>
                      <w:b/>
                      <w:sz w:val="18"/>
                      <w:szCs w:val="18"/>
                    </w:rPr>
                    <w:t>TABLE 454.1.6.1</w:t>
                  </w:r>
                </w:p>
              </w:tc>
            </w:tr>
            <w:tr w:rsidR="00170CF8" w14:paraId="0A194A67" w14:textId="77777777">
              <w:trPr>
                <w:trHeight w:val="152"/>
              </w:trPr>
              <w:tc>
                <w:tcPr>
                  <w:tcW w:w="7891" w:type="dxa"/>
                  <w:gridSpan w:val="6"/>
                  <w:tcBorders>
                    <w:top w:val="single" w:sz="4" w:space="0" w:color="auto"/>
                    <w:left w:val="single" w:sz="4" w:space="0" w:color="auto"/>
                    <w:bottom w:val="single" w:sz="4" w:space="0" w:color="auto"/>
                    <w:right w:val="single" w:sz="4" w:space="0" w:color="auto"/>
                  </w:tcBorders>
                  <w:hideMark/>
                </w:tcPr>
                <w:p w14:paraId="70911D2D" w14:textId="77777777" w:rsidR="00170CF8" w:rsidRDefault="00170CF8">
                  <w:pPr>
                    <w:spacing w:after="80"/>
                    <w:jc w:val="center"/>
                    <w:rPr>
                      <w:b/>
                      <w:sz w:val="18"/>
                      <w:szCs w:val="18"/>
                    </w:rPr>
                  </w:pPr>
                  <w:r>
                    <w:rPr>
                      <w:b/>
                      <w:sz w:val="18"/>
                      <w:szCs w:val="18"/>
                    </w:rPr>
                    <w:t>PUBLIC SWIMMING POOL—REQUIRED FIXTURE COUNT</w:t>
                  </w:r>
                </w:p>
              </w:tc>
            </w:tr>
            <w:tr w:rsidR="00170CF8" w14:paraId="7A0DBC1B" w14:textId="77777777">
              <w:tc>
                <w:tcPr>
                  <w:tcW w:w="2396" w:type="dxa"/>
                  <w:tcBorders>
                    <w:top w:val="single" w:sz="4" w:space="0" w:color="auto"/>
                    <w:left w:val="single" w:sz="4" w:space="0" w:color="auto"/>
                    <w:bottom w:val="single" w:sz="4" w:space="0" w:color="auto"/>
                    <w:right w:val="single" w:sz="4" w:space="0" w:color="auto"/>
                  </w:tcBorders>
                  <w:hideMark/>
                </w:tcPr>
                <w:p w14:paraId="0747F90F" w14:textId="77777777" w:rsidR="00170CF8" w:rsidRDefault="00170CF8">
                  <w:pPr>
                    <w:spacing w:after="80"/>
                    <w:jc w:val="center"/>
                    <w:rPr>
                      <w:b/>
                      <w:sz w:val="18"/>
                      <w:szCs w:val="18"/>
                    </w:rPr>
                  </w:pPr>
                  <w:r>
                    <w:rPr>
                      <w:b/>
                      <w:sz w:val="18"/>
                      <w:szCs w:val="18"/>
                    </w:rPr>
                    <w:t>SIZE OF POOL (square feet)</w:t>
                  </w:r>
                </w:p>
              </w:tc>
              <w:tc>
                <w:tcPr>
                  <w:tcW w:w="2787" w:type="dxa"/>
                  <w:gridSpan w:val="3"/>
                  <w:tcBorders>
                    <w:top w:val="single" w:sz="4" w:space="0" w:color="auto"/>
                    <w:left w:val="single" w:sz="4" w:space="0" w:color="auto"/>
                    <w:bottom w:val="single" w:sz="4" w:space="0" w:color="auto"/>
                    <w:right w:val="single" w:sz="4" w:space="0" w:color="auto"/>
                  </w:tcBorders>
                  <w:hideMark/>
                </w:tcPr>
                <w:p w14:paraId="6F2A6B4B" w14:textId="77777777" w:rsidR="00170CF8" w:rsidRDefault="00170CF8">
                  <w:pPr>
                    <w:spacing w:after="80"/>
                    <w:jc w:val="center"/>
                    <w:rPr>
                      <w:b/>
                      <w:sz w:val="18"/>
                      <w:szCs w:val="18"/>
                    </w:rPr>
                  </w:pPr>
                  <w:r>
                    <w:rPr>
                      <w:b/>
                      <w:sz w:val="18"/>
                      <w:szCs w:val="18"/>
                    </w:rPr>
                    <w:t>MEN’S RESTROOM</w:t>
                  </w:r>
                </w:p>
              </w:tc>
              <w:tc>
                <w:tcPr>
                  <w:tcW w:w="2708" w:type="dxa"/>
                  <w:gridSpan w:val="2"/>
                  <w:tcBorders>
                    <w:top w:val="single" w:sz="4" w:space="0" w:color="auto"/>
                    <w:left w:val="single" w:sz="4" w:space="0" w:color="auto"/>
                    <w:bottom w:val="single" w:sz="4" w:space="0" w:color="auto"/>
                    <w:right w:val="single" w:sz="4" w:space="0" w:color="auto"/>
                  </w:tcBorders>
                  <w:hideMark/>
                </w:tcPr>
                <w:p w14:paraId="49631AF3" w14:textId="77777777" w:rsidR="00170CF8" w:rsidRDefault="00170CF8">
                  <w:pPr>
                    <w:spacing w:after="80"/>
                    <w:jc w:val="center"/>
                    <w:rPr>
                      <w:b/>
                      <w:sz w:val="18"/>
                      <w:szCs w:val="18"/>
                    </w:rPr>
                  </w:pPr>
                  <w:r>
                    <w:rPr>
                      <w:b/>
                      <w:sz w:val="18"/>
                      <w:szCs w:val="18"/>
                    </w:rPr>
                    <w:t>WOMEN’S RESTROOM</w:t>
                  </w:r>
                </w:p>
              </w:tc>
            </w:tr>
            <w:tr w:rsidR="00170CF8" w14:paraId="5E239AAD" w14:textId="77777777">
              <w:tc>
                <w:tcPr>
                  <w:tcW w:w="2396" w:type="dxa"/>
                  <w:tcBorders>
                    <w:top w:val="single" w:sz="4" w:space="0" w:color="auto"/>
                    <w:left w:val="single" w:sz="4" w:space="0" w:color="auto"/>
                    <w:bottom w:val="single" w:sz="4" w:space="0" w:color="auto"/>
                    <w:right w:val="single" w:sz="4" w:space="0" w:color="auto"/>
                  </w:tcBorders>
                  <w:hideMark/>
                </w:tcPr>
                <w:p w14:paraId="7BF66439" w14:textId="77777777" w:rsidR="00170CF8" w:rsidRDefault="00170CF8">
                  <w:pPr>
                    <w:spacing w:after="80"/>
                    <w:jc w:val="center"/>
                    <w:rPr>
                      <w:b/>
                      <w:sz w:val="18"/>
                      <w:szCs w:val="18"/>
                    </w:rPr>
                  </w:pPr>
                  <w:r>
                    <w:rPr>
                      <w:b/>
                      <w:sz w:val="18"/>
                      <w:szCs w:val="18"/>
                    </w:rPr>
                    <w:t>For SI: 1 FT</w:t>
                  </w:r>
                  <w:r>
                    <w:rPr>
                      <w:b/>
                      <w:sz w:val="18"/>
                      <w:szCs w:val="18"/>
                      <w:vertAlign w:val="superscript"/>
                    </w:rPr>
                    <w:t>2</w:t>
                  </w:r>
                  <w:r>
                    <w:rPr>
                      <w:b/>
                      <w:sz w:val="18"/>
                      <w:szCs w:val="18"/>
                    </w:rPr>
                    <w:t xml:space="preserve"> = 0.0929 m</w:t>
                  </w:r>
                  <w:r>
                    <w:rPr>
                      <w:b/>
                      <w:sz w:val="18"/>
                      <w:szCs w:val="18"/>
                      <w:vertAlign w:val="superscript"/>
                    </w:rPr>
                    <w:t>2</w:t>
                  </w:r>
                  <w:r>
                    <w:rPr>
                      <w:b/>
                      <w:sz w:val="18"/>
                      <w:szCs w:val="18"/>
                    </w:rPr>
                    <w:t>.</w:t>
                  </w:r>
                </w:p>
              </w:tc>
              <w:tc>
                <w:tcPr>
                  <w:tcW w:w="957" w:type="dxa"/>
                  <w:tcBorders>
                    <w:top w:val="single" w:sz="4" w:space="0" w:color="auto"/>
                    <w:left w:val="single" w:sz="4" w:space="0" w:color="auto"/>
                    <w:bottom w:val="single" w:sz="4" w:space="0" w:color="auto"/>
                    <w:right w:val="single" w:sz="4" w:space="0" w:color="auto"/>
                  </w:tcBorders>
                  <w:hideMark/>
                </w:tcPr>
                <w:p w14:paraId="366FC7D5" w14:textId="77777777" w:rsidR="00170CF8" w:rsidRDefault="00170CF8">
                  <w:pPr>
                    <w:spacing w:after="80"/>
                    <w:jc w:val="center"/>
                    <w:rPr>
                      <w:b/>
                      <w:sz w:val="18"/>
                      <w:szCs w:val="18"/>
                    </w:rPr>
                  </w:pPr>
                  <w:r>
                    <w:rPr>
                      <w:b/>
                      <w:sz w:val="18"/>
                      <w:szCs w:val="18"/>
                    </w:rPr>
                    <w:t>Urinals</w:t>
                  </w:r>
                </w:p>
              </w:tc>
              <w:tc>
                <w:tcPr>
                  <w:tcW w:w="805" w:type="dxa"/>
                  <w:tcBorders>
                    <w:top w:val="single" w:sz="4" w:space="0" w:color="auto"/>
                    <w:left w:val="single" w:sz="4" w:space="0" w:color="auto"/>
                    <w:bottom w:val="single" w:sz="4" w:space="0" w:color="auto"/>
                    <w:right w:val="single" w:sz="4" w:space="0" w:color="auto"/>
                  </w:tcBorders>
                  <w:hideMark/>
                </w:tcPr>
                <w:p w14:paraId="79520A38" w14:textId="77777777" w:rsidR="00170CF8" w:rsidRDefault="00170CF8">
                  <w:pPr>
                    <w:spacing w:after="80"/>
                    <w:jc w:val="center"/>
                    <w:rPr>
                      <w:b/>
                      <w:sz w:val="18"/>
                      <w:szCs w:val="18"/>
                    </w:rPr>
                  </w:pPr>
                  <w:r>
                    <w:rPr>
                      <w:b/>
                      <w:sz w:val="18"/>
                      <w:szCs w:val="18"/>
                    </w:rPr>
                    <w:t>WC</w:t>
                  </w:r>
                </w:p>
              </w:tc>
              <w:tc>
                <w:tcPr>
                  <w:tcW w:w="1025" w:type="dxa"/>
                  <w:tcBorders>
                    <w:top w:val="single" w:sz="4" w:space="0" w:color="auto"/>
                    <w:left w:val="single" w:sz="4" w:space="0" w:color="auto"/>
                    <w:bottom w:val="single" w:sz="4" w:space="0" w:color="auto"/>
                    <w:right w:val="single" w:sz="4" w:space="0" w:color="auto"/>
                  </w:tcBorders>
                  <w:hideMark/>
                </w:tcPr>
                <w:p w14:paraId="5B5F105C" w14:textId="77777777" w:rsidR="00170CF8" w:rsidRDefault="00170CF8">
                  <w:pPr>
                    <w:spacing w:after="80"/>
                    <w:jc w:val="center"/>
                    <w:rPr>
                      <w:b/>
                      <w:sz w:val="18"/>
                      <w:szCs w:val="18"/>
                    </w:rPr>
                  </w:pPr>
                  <w:r>
                    <w:rPr>
                      <w:b/>
                      <w:sz w:val="18"/>
                      <w:szCs w:val="18"/>
                    </w:rPr>
                    <w:t>Lavatory</w:t>
                  </w:r>
                </w:p>
              </w:tc>
              <w:tc>
                <w:tcPr>
                  <w:tcW w:w="1266" w:type="dxa"/>
                  <w:tcBorders>
                    <w:top w:val="single" w:sz="4" w:space="0" w:color="auto"/>
                    <w:left w:val="single" w:sz="4" w:space="0" w:color="auto"/>
                    <w:bottom w:val="single" w:sz="4" w:space="0" w:color="auto"/>
                    <w:right w:val="single" w:sz="4" w:space="0" w:color="auto"/>
                  </w:tcBorders>
                  <w:hideMark/>
                </w:tcPr>
                <w:p w14:paraId="690389BD" w14:textId="77777777" w:rsidR="00170CF8" w:rsidRDefault="00170CF8">
                  <w:pPr>
                    <w:spacing w:after="80"/>
                    <w:jc w:val="center"/>
                    <w:rPr>
                      <w:b/>
                      <w:sz w:val="18"/>
                      <w:szCs w:val="18"/>
                    </w:rPr>
                  </w:pPr>
                  <w:r>
                    <w:rPr>
                      <w:b/>
                      <w:sz w:val="18"/>
                      <w:szCs w:val="18"/>
                    </w:rPr>
                    <w:t>WC</w:t>
                  </w:r>
                </w:p>
              </w:tc>
              <w:tc>
                <w:tcPr>
                  <w:tcW w:w="1442" w:type="dxa"/>
                  <w:tcBorders>
                    <w:top w:val="single" w:sz="4" w:space="0" w:color="auto"/>
                    <w:left w:val="single" w:sz="4" w:space="0" w:color="auto"/>
                    <w:bottom w:val="single" w:sz="4" w:space="0" w:color="auto"/>
                    <w:right w:val="single" w:sz="4" w:space="0" w:color="auto"/>
                  </w:tcBorders>
                  <w:hideMark/>
                </w:tcPr>
                <w:p w14:paraId="47C7FC37" w14:textId="77777777" w:rsidR="00170CF8" w:rsidRDefault="00170CF8">
                  <w:pPr>
                    <w:spacing w:after="80"/>
                    <w:jc w:val="center"/>
                    <w:rPr>
                      <w:b/>
                      <w:sz w:val="18"/>
                      <w:szCs w:val="18"/>
                    </w:rPr>
                  </w:pPr>
                  <w:r>
                    <w:rPr>
                      <w:b/>
                      <w:sz w:val="18"/>
                      <w:szCs w:val="18"/>
                    </w:rPr>
                    <w:t>Lavatory</w:t>
                  </w:r>
                </w:p>
              </w:tc>
            </w:tr>
            <w:tr w:rsidR="00170CF8" w14:paraId="57F20303" w14:textId="77777777">
              <w:tc>
                <w:tcPr>
                  <w:tcW w:w="2396" w:type="dxa"/>
                  <w:tcBorders>
                    <w:top w:val="single" w:sz="4" w:space="0" w:color="auto"/>
                    <w:left w:val="single" w:sz="4" w:space="0" w:color="auto"/>
                    <w:bottom w:val="single" w:sz="4" w:space="0" w:color="auto"/>
                    <w:right w:val="single" w:sz="4" w:space="0" w:color="auto"/>
                  </w:tcBorders>
                  <w:hideMark/>
                </w:tcPr>
                <w:p w14:paraId="16F1D0BE" w14:textId="77777777" w:rsidR="00170CF8" w:rsidRDefault="00170CF8">
                  <w:pPr>
                    <w:spacing w:after="80"/>
                    <w:jc w:val="center"/>
                    <w:rPr>
                      <w:sz w:val="18"/>
                      <w:szCs w:val="18"/>
                    </w:rPr>
                  </w:pPr>
                  <w:r>
                    <w:rPr>
                      <w:sz w:val="18"/>
                      <w:szCs w:val="18"/>
                    </w:rPr>
                    <w:t>0 – 2,500</w:t>
                  </w:r>
                </w:p>
              </w:tc>
              <w:tc>
                <w:tcPr>
                  <w:tcW w:w="957" w:type="dxa"/>
                  <w:tcBorders>
                    <w:top w:val="single" w:sz="4" w:space="0" w:color="auto"/>
                    <w:left w:val="single" w:sz="4" w:space="0" w:color="auto"/>
                    <w:bottom w:val="single" w:sz="4" w:space="0" w:color="auto"/>
                    <w:right w:val="single" w:sz="4" w:space="0" w:color="auto"/>
                  </w:tcBorders>
                  <w:hideMark/>
                </w:tcPr>
                <w:p w14:paraId="55E1C018" w14:textId="77777777" w:rsidR="00170CF8" w:rsidRDefault="00170CF8">
                  <w:pPr>
                    <w:spacing w:after="80"/>
                    <w:jc w:val="center"/>
                    <w:rPr>
                      <w:sz w:val="18"/>
                      <w:szCs w:val="18"/>
                    </w:rPr>
                  </w:pPr>
                  <w:r>
                    <w:rPr>
                      <w:sz w:val="18"/>
                      <w:szCs w:val="18"/>
                    </w:rPr>
                    <w:t>1</w:t>
                  </w:r>
                </w:p>
              </w:tc>
              <w:tc>
                <w:tcPr>
                  <w:tcW w:w="805" w:type="dxa"/>
                  <w:tcBorders>
                    <w:top w:val="single" w:sz="4" w:space="0" w:color="auto"/>
                    <w:left w:val="single" w:sz="4" w:space="0" w:color="auto"/>
                    <w:bottom w:val="single" w:sz="4" w:space="0" w:color="auto"/>
                    <w:right w:val="single" w:sz="4" w:space="0" w:color="auto"/>
                  </w:tcBorders>
                  <w:hideMark/>
                </w:tcPr>
                <w:p w14:paraId="509345F7" w14:textId="77777777" w:rsidR="00170CF8" w:rsidRDefault="00170CF8">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3CEFE820" w14:textId="77777777" w:rsidR="00170CF8" w:rsidRDefault="00170CF8">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5AA8F3D5" w14:textId="77777777" w:rsidR="00170CF8" w:rsidRDefault="00170CF8">
                  <w:pPr>
                    <w:spacing w:after="80"/>
                    <w:jc w:val="center"/>
                    <w:rPr>
                      <w:sz w:val="18"/>
                      <w:szCs w:val="18"/>
                    </w:rPr>
                  </w:pPr>
                  <w:r>
                    <w:rPr>
                      <w:sz w:val="18"/>
                      <w:szCs w:val="18"/>
                    </w:rPr>
                    <w:t>1</w:t>
                  </w:r>
                </w:p>
              </w:tc>
              <w:tc>
                <w:tcPr>
                  <w:tcW w:w="1442" w:type="dxa"/>
                  <w:tcBorders>
                    <w:top w:val="single" w:sz="4" w:space="0" w:color="auto"/>
                    <w:left w:val="single" w:sz="4" w:space="0" w:color="auto"/>
                    <w:bottom w:val="single" w:sz="4" w:space="0" w:color="auto"/>
                    <w:right w:val="single" w:sz="4" w:space="0" w:color="auto"/>
                  </w:tcBorders>
                  <w:hideMark/>
                </w:tcPr>
                <w:p w14:paraId="1E9F14E9" w14:textId="77777777" w:rsidR="00170CF8" w:rsidRDefault="00170CF8">
                  <w:pPr>
                    <w:spacing w:after="80"/>
                    <w:jc w:val="center"/>
                    <w:rPr>
                      <w:sz w:val="18"/>
                      <w:szCs w:val="18"/>
                    </w:rPr>
                  </w:pPr>
                  <w:r>
                    <w:rPr>
                      <w:sz w:val="18"/>
                      <w:szCs w:val="18"/>
                    </w:rPr>
                    <w:t>1</w:t>
                  </w:r>
                </w:p>
              </w:tc>
            </w:tr>
            <w:tr w:rsidR="00170CF8" w14:paraId="77634C7C" w14:textId="77777777">
              <w:tc>
                <w:tcPr>
                  <w:tcW w:w="2396" w:type="dxa"/>
                  <w:tcBorders>
                    <w:top w:val="single" w:sz="4" w:space="0" w:color="auto"/>
                    <w:left w:val="single" w:sz="4" w:space="0" w:color="auto"/>
                    <w:bottom w:val="single" w:sz="4" w:space="0" w:color="auto"/>
                    <w:right w:val="single" w:sz="4" w:space="0" w:color="auto"/>
                  </w:tcBorders>
                  <w:hideMark/>
                </w:tcPr>
                <w:p w14:paraId="7A6A7828" w14:textId="77777777" w:rsidR="00170CF8" w:rsidRDefault="00170CF8">
                  <w:pPr>
                    <w:spacing w:after="80"/>
                    <w:jc w:val="center"/>
                    <w:rPr>
                      <w:sz w:val="18"/>
                      <w:szCs w:val="18"/>
                    </w:rPr>
                  </w:pPr>
                  <w:r>
                    <w:rPr>
                      <w:sz w:val="18"/>
                      <w:szCs w:val="18"/>
                    </w:rPr>
                    <w:t>2,501 – 5,000</w:t>
                  </w:r>
                </w:p>
              </w:tc>
              <w:tc>
                <w:tcPr>
                  <w:tcW w:w="957" w:type="dxa"/>
                  <w:tcBorders>
                    <w:top w:val="single" w:sz="4" w:space="0" w:color="auto"/>
                    <w:left w:val="single" w:sz="4" w:space="0" w:color="auto"/>
                    <w:bottom w:val="single" w:sz="4" w:space="0" w:color="auto"/>
                    <w:right w:val="single" w:sz="4" w:space="0" w:color="auto"/>
                  </w:tcBorders>
                  <w:hideMark/>
                </w:tcPr>
                <w:p w14:paraId="61909037" w14:textId="77777777" w:rsidR="00170CF8" w:rsidRDefault="00170CF8">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01F96739" w14:textId="77777777" w:rsidR="00170CF8" w:rsidRDefault="00170CF8">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57F9B5FF" w14:textId="77777777" w:rsidR="00170CF8" w:rsidRDefault="00170CF8">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21C7CBA3" w14:textId="77777777" w:rsidR="00170CF8" w:rsidRDefault="00170CF8">
                  <w:pPr>
                    <w:spacing w:after="80"/>
                    <w:jc w:val="center"/>
                    <w:rPr>
                      <w:sz w:val="18"/>
                      <w:szCs w:val="18"/>
                    </w:rPr>
                  </w:pPr>
                  <w:r>
                    <w:rPr>
                      <w:sz w:val="18"/>
                      <w:szCs w:val="18"/>
                    </w:rPr>
                    <w:t>5</w:t>
                  </w:r>
                </w:p>
              </w:tc>
              <w:tc>
                <w:tcPr>
                  <w:tcW w:w="1442" w:type="dxa"/>
                  <w:tcBorders>
                    <w:top w:val="single" w:sz="4" w:space="0" w:color="auto"/>
                    <w:left w:val="single" w:sz="4" w:space="0" w:color="auto"/>
                    <w:bottom w:val="single" w:sz="4" w:space="0" w:color="auto"/>
                    <w:right w:val="single" w:sz="4" w:space="0" w:color="auto"/>
                  </w:tcBorders>
                  <w:hideMark/>
                </w:tcPr>
                <w:p w14:paraId="08DBE816" w14:textId="77777777" w:rsidR="00170CF8" w:rsidRDefault="00170CF8">
                  <w:pPr>
                    <w:spacing w:after="80"/>
                    <w:jc w:val="center"/>
                    <w:rPr>
                      <w:sz w:val="18"/>
                      <w:szCs w:val="18"/>
                    </w:rPr>
                  </w:pPr>
                  <w:r>
                    <w:rPr>
                      <w:sz w:val="18"/>
                      <w:szCs w:val="18"/>
                    </w:rPr>
                    <w:t>1</w:t>
                  </w:r>
                </w:p>
              </w:tc>
            </w:tr>
            <w:tr w:rsidR="00170CF8" w14:paraId="29A39701" w14:textId="77777777">
              <w:tc>
                <w:tcPr>
                  <w:tcW w:w="2396" w:type="dxa"/>
                  <w:tcBorders>
                    <w:top w:val="single" w:sz="4" w:space="0" w:color="auto"/>
                    <w:left w:val="single" w:sz="4" w:space="0" w:color="auto"/>
                    <w:bottom w:val="single" w:sz="4" w:space="0" w:color="auto"/>
                    <w:right w:val="single" w:sz="4" w:space="0" w:color="auto"/>
                  </w:tcBorders>
                  <w:hideMark/>
                </w:tcPr>
                <w:p w14:paraId="377A2F9A" w14:textId="77777777" w:rsidR="00170CF8" w:rsidRDefault="00170CF8">
                  <w:pPr>
                    <w:spacing w:after="80"/>
                    <w:jc w:val="center"/>
                    <w:rPr>
                      <w:sz w:val="18"/>
                      <w:szCs w:val="18"/>
                    </w:rPr>
                  </w:pPr>
                  <w:r>
                    <w:rPr>
                      <w:sz w:val="18"/>
                      <w:szCs w:val="18"/>
                    </w:rPr>
                    <w:t>5,001 – 7,500</w:t>
                  </w:r>
                </w:p>
              </w:tc>
              <w:tc>
                <w:tcPr>
                  <w:tcW w:w="957" w:type="dxa"/>
                  <w:tcBorders>
                    <w:top w:val="single" w:sz="4" w:space="0" w:color="auto"/>
                    <w:left w:val="single" w:sz="4" w:space="0" w:color="auto"/>
                    <w:bottom w:val="single" w:sz="4" w:space="0" w:color="auto"/>
                    <w:right w:val="single" w:sz="4" w:space="0" w:color="auto"/>
                  </w:tcBorders>
                  <w:hideMark/>
                </w:tcPr>
                <w:p w14:paraId="6580F8D7" w14:textId="77777777" w:rsidR="00170CF8" w:rsidRDefault="00170CF8">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1FD73E67" w14:textId="77777777" w:rsidR="00170CF8" w:rsidRDefault="00170CF8">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1F81B748" w14:textId="77777777" w:rsidR="00170CF8" w:rsidRDefault="00170CF8">
                  <w:pPr>
                    <w:spacing w:after="80"/>
                    <w:jc w:val="center"/>
                    <w:rPr>
                      <w:sz w:val="18"/>
                      <w:szCs w:val="18"/>
                    </w:rPr>
                  </w:pPr>
                  <w:r>
                    <w:rPr>
                      <w:sz w:val="18"/>
                      <w:szCs w:val="18"/>
                    </w:rPr>
                    <w:t>2</w:t>
                  </w:r>
                </w:p>
              </w:tc>
              <w:tc>
                <w:tcPr>
                  <w:tcW w:w="1266" w:type="dxa"/>
                  <w:tcBorders>
                    <w:top w:val="single" w:sz="4" w:space="0" w:color="auto"/>
                    <w:left w:val="single" w:sz="4" w:space="0" w:color="auto"/>
                    <w:bottom w:val="single" w:sz="4" w:space="0" w:color="auto"/>
                    <w:right w:val="single" w:sz="4" w:space="0" w:color="auto"/>
                  </w:tcBorders>
                  <w:hideMark/>
                </w:tcPr>
                <w:p w14:paraId="4E611208" w14:textId="77777777" w:rsidR="00170CF8" w:rsidRDefault="00170CF8">
                  <w:pPr>
                    <w:spacing w:after="80"/>
                    <w:jc w:val="center"/>
                    <w:rPr>
                      <w:sz w:val="18"/>
                      <w:szCs w:val="18"/>
                    </w:rPr>
                  </w:pPr>
                  <w:r>
                    <w:rPr>
                      <w:sz w:val="18"/>
                      <w:szCs w:val="18"/>
                    </w:rPr>
                    <w:t>6</w:t>
                  </w:r>
                </w:p>
              </w:tc>
              <w:tc>
                <w:tcPr>
                  <w:tcW w:w="1442" w:type="dxa"/>
                  <w:tcBorders>
                    <w:top w:val="single" w:sz="4" w:space="0" w:color="auto"/>
                    <w:left w:val="single" w:sz="4" w:space="0" w:color="auto"/>
                    <w:bottom w:val="single" w:sz="4" w:space="0" w:color="auto"/>
                    <w:right w:val="single" w:sz="4" w:space="0" w:color="auto"/>
                  </w:tcBorders>
                  <w:hideMark/>
                </w:tcPr>
                <w:p w14:paraId="7CFDA4AE" w14:textId="77777777" w:rsidR="00170CF8" w:rsidRDefault="00170CF8">
                  <w:pPr>
                    <w:spacing w:after="80"/>
                    <w:jc w:val="center"/>
                    <w:rPr>
                      <w:sz w:val="18"/>
                      <w:szCs w:val="18"/>
                    </w:rPr>
                  </w:pPr>
                  <w:r>
                    <w:rPr>
                      <w:sz w:val="18"/>
                      <w:szCs w:val="18"/>
                    </w:rPr>
                    <w:t>2</w:t>
                  </w:r>
                </w:p>
              </w:tc>
            </w:tr>
            <w:tr w:rsidR="00170CF8" w14:paraId="40EA0125" w14:textId="77777777">
              <w:tc>
                <w:tcPr>
                  <w:tcW w:w="2396" w:type="dxa"/>
                  <w:tcBorders>
                    <w:top w:val="single" w:sz="4" w:space="0" w:color="auto"/>
                    <w:left w:val="single" w:sz="4" w:space="0" w:color="auto"/>
                    <w:bottom w:val="single" w:sz="4" w:space="0" w:color="auto"/>
                    <w:right w:val="single" w:sz="4" w:space="0" w:color="auto"/>
                  </w:tcBorders>
                  <w:hideMark/>
                </w:tcPr>
                <w:p w14:paraId="03E4DB82" w14:textId="77777777" w:rsidR="00170CF8" w:rsidRDefault="00170CF8">
                  <w:pPr>
                    <w:spacing w:after="80"/>
                    <w:jc w:val="center"/>
                    <w:rPr>
                      <w:sz w:val="18"/>
                      <w:szCs w:val="18"/>
                    </w:rPr>
                  </w:pPr>
                  <w:r>
                    <w:rPr>
                      <w:sz w:val="18"/>
                      <w:szCs w:val="18"/>
                    </w:rPr>
                    <w:t>7,501 – 10,000</w:t>
                  </w:r>
                </w:p>
              </w:tc>
              <w:tc>
                <w:tcPr>
                  <w:tcW w:w="957" w:type="dxa"/>
                  <w:tcBorders>
                    <w:top w:val="single" w:sz="4" w:space="0" w:color="auto"/>
                    <w:left w:val="single" w:sz="4" w:space="0" w:color="auto"/>
                    <w:bottom w:val="single" w:sz="4" w:space="0" w:color="auto"/>
                    <w:right w:val="single" w:sz="4" w:space="0" w:color="auto"/>
                  </w:tcBorders>
                  <w:hideMark/>
                </w:tcPr>
                <w:p w14:paraId="7DC5AB0B" w14:textId="77777777" w:rsidR="00170CF8" w:rsidRDefault="00170CF8">
                  <w:pPr>
                    <w:spacing w:after="80"/>
                    <w:jc w:val="center"/>
                    <w:rPr>
                      <w:sz w:val="18"/>
                      <w:szCs w:val="18"/>
                    </w:rPr>
                  </w:pPr>
                  <w:r>
                    <w:rPr>
                      <w:sz w:val="18"/>
                      <w:szCs w:val="18"/>
                    </w:rPr>
                    <w:t>3</w:t>
                  </w:r>
                </w:p>
              </w:tc>
              <w:tc>
                <w:tcPr>
                  <w:tcW w:w="805" w:type="dxa"/>
                  <w:tcBorders>
                    <w:top w:val="single" w:sz="4" w:space="0" w:color="auto"/>
                    <w:left w:val="single" w:sz="4" w:space="0" w:color="auto"/>
                    <w:bottom w:val="single" w:sz="4" w:space="0" w:color="auto"/>
                    <w:right w:val="single" w:sz="4" w:space="0" w:color="auto"/>
                  </w:tcBorders>
                  <w:hideMark/>
                </w:tcPr>
                <w:p w14:paraId="233FB444" w14:textId="77777777" w:rsidR="00170CF8" w:rsidRDefault="00170CF8">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5DF36480" w14:textId="77777777" w:rsidR="00170CF8" w:rsidRDefault="00170CF8">
                  <w:pPr>
                    <w:spacing w:after="80"/>
                    <w:jc w:val="center"/>
                    <w:rPr>
                      <w:sz w:val="18"/>
                      <w:szCs w:val="18"/>
                    </w:rPr>
                  </w:pPr>
                  <w:r>
                    <w:rPr>
                      <w:sz w:val="18"/>
                      <w:szCs w:val="18"/>
                    </w:rPr>
                    <w:t>3</w:t>
                  </w:r>
                </w:p>
              </w:tc>
              <w:tc>
                <w:tcPr>
                  <w:tcW w:w="1266" w:type="dxa"/>
                  <w:tcBorders>
                    <w:top w:val="single" w:sz="4" w:space="0" w:color="auto"/>
                    <w:left w:val="single" w:sz="4" w:space="0" w:color="auto"/>
                    <w:bottom w:val="single" w:sz="4" w:space="0" w:color="auto"/>
                    <w:right w:val="single" w:sz="4" w:space="0" w:color="auto"/>
                  </w:tcBorders>
                  <w:hideMark/>
                </w:tcPr>
                <w:p w14:paraId="5D636D7F" w14:textId="77777777" w:rsidR="00170CF8" w:rsidRDefault="00170CF8">
                  <w:pPr>
                    <w:spacing w:after="80"/>
                    <w:jc w:val="center"/>
                    <w:rPr>
                      <w:sz w:val="18"/>
                      <w:szCs w:val="18"/>
                    </w:rPr>
                  </w:pPr>
                  <w:r>
                    <w:rPr>
                      <w:sz w:val="18"/>
                      <w:szCs w:val="18"/>
                    </w:rPr>
                    <w:t>8</w:t>
                  </w:r>
                </w:p>
              </w:tc>
              <w:tc>
                <w:tcPr>
                  <w:tcW w:w="1442" w:type="dxa"/>
                  <w:tcBorders>
                    <w:top w:val="single" w:sz="4" w:space="0" w:color="auto"/>
                    <w:left w:val="single" w:sz="4" w:space="0" w:color="auto"/>
                    <w:bottom w:val="single" w:sz="4" w:space="0" w:color="auto"/>
                    <w:right w:val="single" w:sz="4" w:space="0" w:color="auto"/>
                  </w:tcBorders>
                  <w:hideMark/>
                </w:tcPr>
                <w:p w14:paraId="4A6C89A9" w14:textId="77777777" w:rsidR="00170CF8" w:rsidRDefault="00170CF8">
                  <w:pPr>
                    <w:spacing w:after="80"/>
                    <w:jc w:val="center"/>
                    <w:rPr>
                      <w:sz w:val="18"/>
                      <w:szCs w:val="18"/>
                    </w:rPr>
                  </w:pPr>
                  <w:r>
                    <w:rPr>
                      <w:sz w:val="18"/>
                      <w:szCs w:val="18"/>
                    </w:rPr>
                    <w:t>3</w:t>
                  </w:r>
                </w:p>
              </w:tc>
            </w:tr>
          </w:tbl>
          <w:p w14:paraId="6C3ABF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p>
        </w:tc>
      </w:tr>
      <w:tr w:rsidR="00170CF8" w14:paraId="6DC9CE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7C42F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C50A0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6C1B48EE"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170CF8" w14:paraId="69D856C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13DB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EEAA7C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B32C89F"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6473B14"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65B23466"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0091077F" w14:textId="77777777" w:rsidR="00170CF8" w:rsidRDefault="00170CF8">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56D94FD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170CF8" w14:paraId="151767E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B86D3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5F99D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649CE3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71D1B4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170CF8" w14:paraId="3BA6149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DF9E7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34F5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05C94A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An additional set of fixtures shall be provided in the men’s restroom for every 7,500 square feet (697 m</w:t>
            </w:r>
            <w:r>
              <w:rPr>
                <w:rFonts w:ascii="Arial" w:eastAsia="Times New Roman" w:hAnsi="Arial" w:cs="Arial"/>
                <w:sz w:val="18"/>
                <w:szCs w:val="18"/>
                <w:vertAlign w:val="superscript"/>
              </w:rPr>
              <w:t>2</w:t>
            </w:r>
            <w:r>
              <w:rPr>
                <w:rFonts w:ascii="Arial" w:eastAsia="Times New Roman" w:hAnsi="Arial" w:cs="Arial"/>
                <w:sz w:val="18"/>
                <w:szCs w:val="18"/>
              </w:rPr>
              <w:t>) or major fraction thereof for pools greater than 10,000 square feet (929 m</w:t>
            </w:r>
            <w:r>
              <w:rPr>
                <w:rFonts w:ascii="Arial" w:eastAsia="Times New Roman" w:hAnsi="Arial" w:cs="Arial"/>
                <w:sz w:val="18"/>
                <w:szCs w:val="18"/>
                <w:vertAlign w:val="superscript"/>
              </w:rPr>
              <w:t>2</w:t>
            </w:r>
            <w:r>
              <w:rPr>
                <w:rFonts w:ascii="Arial" w:eastAsia="Times New Roman" w:hAnsi="Arial" w:cs="Arial"/>
                <w:sz w:val="18"/>
                <w:szCs w:val="18"/>
              </w:rPr>
              <w:t>).</w:t>
            </w:r>
          </w:p>
          <w:p w14:paraId="1630465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550854B2" w14:textId="77777777" w:rsidR="00170CF8" w:rsidRDefault="00170CF8">
            <w:pPr>
              <w:tabs>
                <w:tab w:val="left" w:pos="6480"/>
                <w:tab w:val="left" w:pos="7920"/>
                <w:tab w:val="left" w:pos="8370"/>
              </w:tabs>
              <w:spacing w:beforeAutospacing="0" w:after="80"/>
              <w:rPr>
                <w:rFonts w:ascii="Arial" w:eastAsia="Times New Roman" w:hAnsi="Arial" w:cs="Arial"/>
                <w:b/>
                <w:sz w:val="18"/>
                <w:szCs w:val="18"/>
              </w:rPr>
            </w:pPr>
            <w:r>
              <w:rPr>
                <w:rFonts w:ascii="Arial" w:eastAsia="Times New Roman" w:hAnsi="Arial" w:cs="Arial"/>
                <w:sz w:val="18"/>
                <w:szCs w:val="18"/>
              </w:rPr>
              <w:t>Lavatory counts shall be equal.</w:t>
            </w:r>
          </w:p>
        </w:tc>
      </w:tr>
      <w:tr w:rsidR="00170CF8" w14:paraId="488E5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71D7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54E06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2A31837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170CF8" w14:paraId="292A664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65B2C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8933B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A9109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170CF8" w14:paraId="1C113AB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AA1E1F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67BC5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19B0509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170CF8" w14:paraId="62BB55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C05D0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1E7D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3ACCED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170CF8" w14:paraId="5BC2C17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7D6FF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25E7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BEE30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170CF8" w14:paraId="2429FA50"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5984F6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CEAD7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38515B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170CF8" w14:paraId="0AB180E8"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974A381"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170CF8" w14:paraId="183DC61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6AAED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65D314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037658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170CF8" w14:paraId="28C5F4A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4E4BA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E7E7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7DD67EA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170CF8" w14:paraId="38D5A31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D47B4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D76EA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2DBCA36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170CF8" w14:paraId="50A984E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6DED98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33079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94705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5692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B51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454.1.6.4</w:t>
            </w:r>
          </w:p>
        </w:tc>
        <w:tc>
          <w:tcPr>
            <w:tcW w:w="7563" w:type="dxa"/>
            <w:tcBorders>
              <w:top w:val="single" w:sz="4" w:space="0" w:color="auto"/>
              <w:left w:val="single" w:sz="4" w:space="0" w:color="auto"/>
              <w:bottom w:val="single" w:sz="4" w:space="0" w:color="auto"/>
              <w:right w:val="single" w:sz="4" w:space="0" w:color="auto"/>
            </w:tcBorders>
            <w:hideMark/>
          </w:tcPr>
          <w:p w14:paraId="0A8FFB5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shall be coated to protect it from ultraviolet light degradation.</w:t>
            </w:r>
          </w:p>
        </w:tc>
      </w:tr>
      <w:tr w:rsidR="00170CF8" w14:paraId="37040BB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5C856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5D6E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7DC2D8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170CF8" w14:paraId="1287648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143255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FCE9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3CA149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170CF8" w14:paraId="5A7D927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F2935C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02361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3EE10B5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IWF makeup water supply is from an approved potable water system or meets those requirements with bacteriological/chemical reports to county health department.</w:t>
            </w:r>
          </w:p>
        </w:tc>
      </w:tr>
      <w:tr w:rsidR="00170CF8" w14:paraId="487D39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E6831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38238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6AB8A41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170CF8" w14:paraId="49AFF13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7153BC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A2F03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9E5A32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pumps shall be selected to provide the required recirculation flow against a minimum total dynamic head of 60 feet (18,288 mm) unless hydraulically justified by the design engineer.</w:t>
            </w:r>
          </w:p>
        </w:tc>
      </w:tr>
      <w:tr w:rsidR="00170CF8" w14:paraId="2909F5C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DC5CF1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A615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06814A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170CF8" w14:paraId="2358FF14"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E27AC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2FFCB0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18" w:space="0" w:color="auto"/>
              <w:right w:val="single" w:sz="4" w:space="0" w:color="auto"/>
            </w:tcBorders>
            <w:hideMark/>
          </w:tcPr>
          <w:p w14:paraId="3A1DC6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170CF8" w14:paraId="7C60553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83E62C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170CF8" w14:paraId="0EF4C185"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16B11E0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3D9DBA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18" w:space="0" w:color="auto"/>
              <w:left w:val="single" w:sz="4" w:space="0" w:color="auto"/>
              <w:bottom w:val="single" w:sz="4" w:space="0" w:color="auto"/>
              <w:right w:val="single" w:sz="4" w:space="0" w:color="auto"/>
            </w:tcBorders>
            <w:hideMark/>
          </w:tcPr>
          <w:p w14:paraId="77CD02E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or regenerative media type filters:  The filter is sized such that the filtration rate does not exceed 2 gpm/FT².</w:t>
            </w:r>
          </w:p>
        </w:tc>
      </w:tr>
      <w:tr w:rsidR="00170CF8" w14:paraId="00E70D8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EB0B2F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CE17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6C75DE8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170CF8" w14:paraId="46742B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AFED3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FC1F7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F4FE0E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170CF8" w14:paraId="56E94DF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C22E0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6D47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185D85F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170CF8" w14:paraId="0AF0918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F60D2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7937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55A79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170CF8" w14:paraId="14CA5B8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A0ACB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3FB53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18142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170CF8" w14:paraId="685D85B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266D5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3C680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336FF02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170CF8" w14:paraId="3725D59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DFFDD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1945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8DC0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170CF8" w14:paraId="30BDF3F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17FB7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ACCBE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F1842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170CF8" w14:paraId="1F964939"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2441A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B6921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C0ED1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170CF8" w14:paraId="513CCFBC"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383C581"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170CF8" w14:paraId="1F02459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4FA526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3779C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548A5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170CF8" w14:paraId="163B4D5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5358C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60A1E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02F00B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170CF8" w14:paraId="3255AA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C13BD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522EF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7E11E5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systems shall be equipped with a vacuum gauge which has a 2-inch (51 mm) face and reads from 0–30 inches of mercury.</w:t>
            </w:r>
          </w:p>
        </w:tc>
      </w:tr>
      <w:tr w:rsidR="00170CF8" w14:paraId="07ABD1E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B6F420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4464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8E2964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tank has coved intersections between the wall and the floor and the tank floor slopes to the filter tank drain.</w:t>
            </w:r>
          </w:p>
        </w:tc>
      </w:tr>
      <w:tr w:rsidR="00170CF8" w14:paraId="1F46536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5A02F8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D4D53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A9B34D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170CF8" w14:paraId="2F162509"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7FB4F17"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170CF8" w14:paraId="2D855DA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7F9791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B6B7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20BA7E2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complies with the maximum filtration rate of 0.375 gpm/FT² for pleated type cartridges.</w:t>
            </w:r>
          </w:p>
        </w:tc>
      </w:tr>
      <w:tr w:rsidR="00170CF8" w14:paraId="0745FF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0679D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19AC6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DF8A7B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170CF8" w14:paraId="2C9FDA5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374294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606AA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1FE844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170CF8" w14:paraId="77369A9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B893E7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2E077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FE033F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170CF8" w14:paraId="7AB822D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4D5897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0788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F16048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170CF8" w14:paraId="099528A3"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051D07E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5C5813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44FBC3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170CF8" w14:paraId="7813B3F1"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3A44AFA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170CF8" w14:paraId="7DCF3EF2"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6EB24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5EAF2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1553B4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 Plastic pipe subject to a period of prolonged sunlight exposure shall be coated to protect it from ultraviolet light degradation.</w:t>
            </w:r>
          </w:p>
        </w:tc>
      </w:tr>
      <w:tr w:rsidR="00170CF8" w14:paraId="102B93A0"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2AEC0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14238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00A334C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170CF8" w14:paraId="65DD550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CB2D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AAE98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72CE0D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170CF8" w14:paraId="7A148A8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7142FA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76184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398D3A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170CF8" w14:paraId="4066069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11269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57F0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5AC486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170CF8" w14:paraId="4C8404C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516FC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DC2FC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3220E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rate of flow indicator (flowmeter), reading in gpm, shall be installed on the return line.</w:t>
            </w:r>
          </w:p>
        </w:tc>
      </w:tr>
      <w:tr w:rsidR="00170CF8" w14:paraId="7131EA69"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FB8913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A73D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38FD87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rate of flow indicator shall be properly sized for the design flow rate and shall be capable of measuring from one half to at least one and one half times the design flow rate.</w:t>
            </w:r>
          </w:p>
        </w:tc>
      </w:tr>
      <w:tr w:rsidR="00170CF8" w14:paraId="3550FA4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2FABA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C9F51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69CB3F8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170CF8" w14:paraId="2C8867E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E9E66A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D443D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733AA9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170CF8" w14:paraId="7071327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08063022"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170CF8" w14:paraId="7215B38A"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1A9B5D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6B2561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29CBD4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170CF8" w14:paraId="1AB5A3F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95AD2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21242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475150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170CF8" w14:paraId="33AA772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55FE11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4B2F9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016C52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170CF8" w14:paraId="0C525B6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2DA9E1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938B6F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3FCF3C8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170CF8" w14:paraId="7379438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E88DC53"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170CF8" w14:paraId="57C144BE"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216B8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7559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070B4E2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170CF8" w14:paraId="0EE542E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2C77176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FCA616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4206833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170CF8" w14:paraId="681BE74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C43806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A231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2D59C6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cyanurate type feeder is used, a cyanuric acid test kit is provided.</w:t>
            </w:r>
          </w:p>
        </w:tc>
      </w:tr>
      <w:tr w:rsidR="00170CF8" w14:paraId="016DA702"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84748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7EBF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10A412B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170CF8" w14:paraId="098AF3AF"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6ACACA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67591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CD244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170CF8" w14:paraId="543716E5"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32B3456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7B8A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7878FA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170CF8" w14:paraId="31FF535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607635EB"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170CF8" w14:paraId="0106C56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2B2CD15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1682BA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445EB9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hypohalogenation-type feeder and electrolytic chlorine generators shall be adjustable from 0 to full range.   </w:t>
            </w:r>
          </w:p>
        </w:tc>
      </w:tr>
      <w:tr w:rsidR="00170CF8" w14:paraId="6190E2A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BCF847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199BB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454.1.9.8.3; 454.1.6.5.16.2</w:t>
            </w:r>
          </w:p>
        </w:tc>
        <w:tc>
          <w:tcPr>
            <w:tcW w:w="7563" w:type="dxa"/>
            <w:tcBorders>
              <w:top w:val="single" w:sz="4" w:space="0" w:color="auto"/>
              <w:left w:val="single" w:sz="4" w:space="0" w:color="auto"/>
              <w:bottom w:val="single" w:sz="4" w:space="0" w:color="auto"/>
              <w:right w:val="single" w:sz="4" w:space="0" w:color="auto"/>
            </w:tcBorders>
            <w:hideMark/>
          </w:tcPr>
          <w:p w14:paraId="6878137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The feeder is capable of feeding a dosage of 12 ppm to the minimum required turnover flow rate (if solution type feeders, a 5% calcium hypochlorite or 10% sodium hypochlorite solution).</w:t>
            </w:r>
          </w:p>
        </w:tc>
      </w:tr>
      <w:tr w:rsidR="00170CF8" w14:paraId="7625885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E54E42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C0CBA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451EE0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170CF8" w14:paraId="2B54683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8ED415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F13D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21D960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170CF8" w14:paraId="15A6398A"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02E2E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6A81FD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5ADAC43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170CF8" w14:paraId="2BF13170"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4FA2885"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170CF8" w14:paraId="52FDEA37"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5F02553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6D1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142993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170CF8" w14:paraId="6AD4731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20F222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9D709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F5C6B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170CF8" w14:paraId="2BA0A0C4"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34FACF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AC674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B04363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170CF8" w14:paraId="7463D68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C444F4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A31D7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53AECFB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170CF8" w14:paraId="40BDBB75"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3529EF9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4D8E86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3058263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The solution crock volume is at least 50% of the maximum daily capacity of the feeder and is marked to indicate the contents.</w:t>
            </w:r>
          </w:p>
        </w:tc>
      </w:tr>
      <w:tr w:rsidR="00170CF8" w14:paraId="61CDF022"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49CD3DF0" w14:textId="77777777" w:rsidR="00170CF8" w:rsidRDefault="00170CF8">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170CF8" w14:paraId="5A8732B4"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482414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40F6DC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5EF43AF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170CF8" w14:paraId="71136D8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FB111D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2799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5236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6043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060E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(1)</w:t>
            </w:r>
          </w:p>
        </w:tc>
        <w:tc>
          <w:tcPr>
            <w:tcW w:w="7563" w:type="dxa"/>
            <w:tcBorders>
              <w:top w:val="single" w:sz="4" w:space="0" w:color="auto"/>
              <w:left w:val="single" w:sz="4" w:space="0" w:color="auto"/>
              <w:bottom w:val="single" w:sz="4" w:space="0" w:color="auto"/>
              <w:right w:val="single" w:sz="4" w:space="0" w:color="auto"/>
            </w:tcBorders>
            <w:hideMark/>
          </w:tcPr>
          <w:p w14:paraId="5E68AF21"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170CF8" w14:paraId="507DBDE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115D235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21980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4CD2DD3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170CF8" w14:paraId="58DAC163"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2EA4958"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33969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4609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2051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C57F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01974B8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Pr>
                <w:rFonts w:ascii="Arial" w:eastAsia="Times New Roman" w:hAnsi="Arial" w:cs="Arial"/>
                <w:i/>
                <w:iCs/>
                <w:sz w:val="18"/>
                <w:szCs w:val="18"/>
              </w:rPr>
              <w:t xml:space="preserve">USEPA Ultraviolet Disinfectant Guidance Manual </w:t>
            </w:r>
            <w:r>
              <w:rPr>
                <w:rFonts w:ascii="Arial" w:eastAsia="Times New Roman" w:hAnsi="Arial" w:cs="Arial"/>
                <w:sz w:val="18"/>
                <w:szCs w:val="18"/>
              </w:rPr>
              <w:t xml:space="preserve">dated November 2006, which is publication number EPA 815R06007 available from the department at  </w:t>
            </w:r>
            <w:hyperlink r:id="rId11" w:history="1">
              <w:r>
                <w:rPr>
                  <w:rStyle w:val="Hyperlink"/>
                  <w:rFonts w:ascii="Arial" w:eastAsia="Times New Roman" w:hAnsi="Arial" w:cs="Arial"/>
                  <w:sz w:val="18"/>
                  <w:szCs w:val="18"/>
                </w:rPr>
                <w:t>http://www.floridashealth.org/Environment/water/swim/index.html</w:t>
              </w:r>
            </w:hyperlink>
            <w:r>
              <w:rPr>
                <w:rFonts w:ascii="Arial" w:eastAsia="Times New Roman" w:hAnsi="Arial" w:cs="Arial"/>
                <w:sz w:val="18"/>
                <w:szCs w:val="18"/>
              </w:rPr>
              <w:t xml:space="preserve">   or at </w:t>
            </w:r>
            <w:hyperlink r:id="rId12" w:history="1">
              <w:r>
                <w:rPr>
                  <w:rStyle w:val="Hyperlink"/>
                  <w:rFonts w:ascii="Arial" w:eastAsia="Times New Roman" w:hAnsi="Arial" w:cs="Arial"/>
                  <w:sz w:val="18"/>
                  <w:szCs w:val="18"/>
                </w:rPr>
                <w:t>http://www.epa.gov/safewater/disinfection/lt2/pdfs/guideit2_uguidance.pdf</w:t>
              </w:r>
            </w:hyperlink>
            <w:r>
              <w:rPr>
                <w:rFonts w:ascii="Arial" w:eastAsia="Times New Roman" w:hAnsi="Arial" w:cs="Arial"/>
                <w:sz w:val="18"/>
                <w:szCs w:val="18"/>
              </w:rPr>
              <w:t xml:space="preserve"> </w:t>
            </w:r>
          </w:p>
          <w:p w14:paraId="2439CF8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Not applicable when Section 454.1.9.8.6.1 alternative is used.</w:t>
            </w:r>
          </w:p>
        </w:tc>
      </w:tr>
      <w:tr w:rsidR="00170CF8" w14:paraId="7A251CED"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39CE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B099C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3907C53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constantly produce a validated dosage of at least 40 mJ/cm</w:t>
            </w:r>
            <w:r>
              <w:rPr>
                <w:rFonts w:ascii="Arial" w:eastAsia="Times New Roman" w:hAnsi="Arial" w:cs="Arial"/>
                <w:sz w:val="18"/>
                <w:szCs w:val="18"/>
                <w:vertAlign w:val="superscript"/>
              </w:rPr>
              <w:t xml:space="preserve">2 </w:t>
            </w:r>
            <w:r>
              <w:rPr>
                <w:rFonts w:ascii="Arial" w:eastAsia="Times New Roman" w:hAnsi="Arial" w:cs="Arial"/>
                <w:sz w:val="18"/>
                <w:szCs w:val="18"/>
              </w:rPr>
              <w:t>(millijoules per square centimeter) at the end of lamp life.</w:t>
            </w:r>
          </w:p>
        </w:tc>
      </w:tr>
      <w:tr w:rsidR="00170CF8" w14:paraId="4A863BFD"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CD3A36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E30E1F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18" w:space="0" w:color="auto"/>
              <w:right w:val="single" w:sz="4" w:space="0" w:color="auto"/>
            </w:tcBorders>
            <w:hideMark/>
          </w:tcPr>
          <w:p w14:paraId="14598D1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equipment shall not be located in a side stream flow and shall be located to treat all water returning to the pool or water features. Any treatment chemicals shall be injected downstream of the UV equipment.</w:t>
            </w:r>
          </w:p>
        </w:tc>
      </w:tr>
      <w:tr w:rsidR="00170CF8" w14:paraId="295CEBF5"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AB83F31" w14:textId="77777777" w:rsidR="00170CF8" w:rsidRDefault="00170CF8">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170CF8" w14:paraId="0FFD12F8"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6CD4CF7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1"/>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B283B0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116CA4D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170CF8" w14:paraId="67C43928"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ACD6A6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7858C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454.1.6.5.16.4.1</w:t>
            </w:r>
          </w:p>
        </w:tc>
        <w:tc>
          <w:tcPr>
            <w:tcW w:w="7563" w:type="dxa"/>
            <w:tcBorders>
              <w:top w:val="single" w:sz="4" w:space="0" w:color="auto"/>
              <w:left w:val="single" w:sz="4" w:space="0" w:color="auto"/>
              <w:bottom w:val="single" w:sz="4" w:space="0" w:color="auto"/>
              <w:right w:val="single" w:sz="4" w:space="0" w:color="auto"/>
            </w:tcBorders>
            <w:hideMark/>
          </w:tcPr>
          <w:p w14:paraId="64F3605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Ozone generating equipment electrical components and wiring shall comply with the requirements </w:t>
            </w:r>
            <w:r>
              <w:rPr>
                <w:rFonts w:ascii="Arial" w:eastAsia="Times New Roman" w:hAnsi="Arial" w:cs="Arial"/>
                <w:i/>
                <w:iCs/>
                <w:sz w:val="18"/>
                <w:szCs w:val="18"/>
              </w:rPr>
              <w:t>of Chapter 27 of the Florida Building Code, Building</w:t>
            </w:r>
            <w:r>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170CF8" w14:paraId="1F136576"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6DD192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FDFD9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79F74B5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170CF8" w14:paraId="2661B3E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462833B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54B0C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3F0E65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170CF8" w14:paraId="67A5BA67"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0D3FF0F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90B650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530AE90"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170CF8" w14:paraId="5494E021"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5BECF76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DD14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3855F49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170CF8" w14:paraId="73F0B0B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6E67305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7B5AD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5FDE4BE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6E1342A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170CF8" w14:paraId="62C827E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73B78722" w14:textId="77777777" w:rsidR="00170CF8" w:rsidRDefault="00170CF8">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sz w:val="18"/>
                <w:szCs w:val="18"/>
              </w:rPr>
              <w:t>IONIZATION EQUIPMENT</w:t>
            </w:r>
          </w:p>
        </w:tc>
      </w:tr>
      <w:tr w:rsidR="00170CF8" w14:paraId="5884934E"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33AF88D5"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212AE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43777306"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170CF8" w14:paraId="5106652A" w14:textId="77777777" w:rsidTr="00170CF8">
        <w:tc>
          <w:tcPr>
            <w:tcW w:w="1486" w:type="dxa"/>
            <w:tcBorders>
              <w:top w:val="single" w:sz="4" w:space="0" w:color="auto"/>
              <w:left w:val="single" w:sz="4" w:space="0" w:color="auto"/>
              <w:bottom w:val="single" w:sz="4" w:space="0" w:color="auto"/>
              <w:right w:val="single" w:sz="4" w:space="0" w:color="auto"/>
            </w:tcBorders>
            <w:hideMark/>
          </w:tcPr>
          <w:p w14:paraId="7114074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816D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454.1.6.5.16.5.1</w:t>
            </w:r>
          </w:p>
        </w:tc>
        <w:tc>
          <w:tcPr>
            <w:tcW w:w="7563" w:type="dxa"/>
            <w:tcBorders>
              <w:top w:val="single" w:sz="4" w:space="0" w:color="auto"/>
              <w:left w:val="single" w:sz="4" w:space="0" w:color="auto"/>
              <w:bottom w:val="single" w:sz="4" w:space="0" w:color="auto"/>
              <w:right w:val="single" w:sz="4" w:space="0" w:color="auto"/>
            </w:tcBorders>
            <w:hideMark/>
          </w:tcPr>
          <w:p w14:paraId="3C42280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and electrical components and wiring shall comply with the requirements of </w:t>
            </w:r>
            <w:r>
              <w:rPr>
                <w:rFonts w:ascii="Arial" w:eastAsia="Times New Roman" w:hAnsi="Arial" w:cs="Arial"/>
                <w:i/>
                <w:iCs/>
                <w:sz w:val="18"/>
                <w:szCs w:val="18"/>
              </w:rPr>
              <w:t>Chapter 27 of the Florida Building Code, Building</w:t>
            </w:r>
            <w:r>
              <w:rPr>
                <w:rFonts w:ascii="Arial" w:eastAsia="Times New Roman" w:hAnsi="Arial" w:cs="Arial"/>
                <w:sz w:val="18"/>
                <w:szCs w:val="18"/>
              </w:rPr>
              <w:t xml:space="preserve"> and the manufacturer shall provide a certification of conformance.</w:t>
            </w:r>
          </w:p>
        </w:tc>
      </w:tr>
      <w:tr w:rsidR="00170CF8" w14:paraId="5AFC2022" w14:textId="77777777" w:rsidTr="00170CF8">
        <w:tc>
          <w:tcPr>
            <w:tcW w:w="1486" w:type="dxa"/>
            <w:tcBorders>
              <w:top w:val="single" w:sz="4" w:space="0" w:color="auto"/>
              <w:left w:val="single" w:sz="4" w:space="0" w:color="auto"/>
              <w:bottom w:val="single" w:sz="18" w:space="0" w:color="auto"/>
              <w:right w:val="single" w:sz="4" w:space="0" w:color="auto"/>
            </w:tcBorders>
            <w:hideMark/>
          </w:tcPr>
          <w:p w14:paraId="7D63E72D"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CA8B144"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6EA56AB9"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170CF8" w14:paraId="11F706FD"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569ABF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170CF8" w14:paraId="74BD8946" w14:textId="77777777" w:rsidTr="00170CF8">
        <w:tc>
          <w:tcPr>
            <w:tcW w:w="1486" w:type="dxa"/>
            <w:tcBorders>
              <w:top w:val="single" w:sz="18" w:space="0" w:color="auto"/>
              <w:left w:val="single" w:sz="4" w:space="0" w:color="auto"/>
              <w:bottom w:val="single" w:sz="4" w:space="0" w:color="auto"/>
              <w:right w:val="single" w:sz="4" w:space="0" w:color="auto"/>
            </w:tcBorders>
            <w:hideMark/>
          </w:tcPr>
          <w:p w14:paraId="4CD3CCBC"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66599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4278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0322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462244E"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18" w:space="0" w:color="auto"/>
              <w:left w:val="single" w:sz="4" w:space="0" w:color="auto"/>
              <w:bottom w:val="single" w:sz="4" w:space="0" w:color="auto"/>
              <w:right w:val="single" w:sz="4" w:space="0" w:color="auto"/>
            </w:tcBorders>
            <w:hideMark/>
          </w:tcPr>
          <w:p w14:paraId="7417C6A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4F2C3042"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6D44341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6C8FF1BB"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693991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60A07987"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07632BFA"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029AD9EF"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09A75D93" w14:textId="77777777" w:rsidR="00170CF8" w:rsidRDefault="00170CF8">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170CF8" w14:paraId="3A1D1A06"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26482E18"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170CF8" w14:paraId="08F0BF03"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097C20B7"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79FFB95C"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6276F70E"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170CF8" w14:paraId="26BE6407" w14:textId="77777777" w:rsidTr="00170CF8">
        <w:tc>
          <w:tcPr>
            <w:tcW w:w="10795" w:type="dxa"/>
            <w:gridSpan w:val="3"/>
            <w:tcBorders>
              <w:top w:val="single" w:sz="18" w:space="0" w:color="auto"/>
              <w:left w:val="single" w:sz="18" w:space="0" w:color="auto"/>
              <w:bottom w:val="single" w:sz="18" w:space="0" w:color="auto"/>
              <w:right w:val="single" w:sz="18" w:space="0" w:color="auto"/>
            </w:tcBorders>
            <w:hideMark/>
          </w:tcPr>
          <w:p w14:paraId="16DC9149" w14:textId="77777777" w:rsidR="00170CF8" w:rsidRDefault="00170CF8">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170CF8" w14:paraId="6F439779" w14:textId="77777777" w:rsidTr="00170CF8">
        <w:tc>
          <w:tcPr>
            <w:tcW w:w="1486" w:type="dxa"/>
            <w:tcBorders>
              <w:top w:val="single" w:sz="18" w:space="0" w:color="auto"/>
              <w:left w:val="single" w:sz="4" w:space="0" w:color="auto"/>
              <w:bottom w:val="single" w:sz="18" w:space="0" w:color="auto"/>
              <w:right w:val="single" w:sz="4" w:space="0" w:color="auto"/>
            </w:tcBorders>
            <w:hideMark/>
          </w:tcPr>
          <w:p w14:paraId="71103775"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162C7852"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43109C29" w14:textId="77777777" w:rsidR="00170CF8" w:rsidRDefault="00170CF8">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w:t>
            </w:r>
            <w:r>
              <w:rPr>
                <w:rFonts w:ascii="Arial" w:eastAsia="Times New Roman" w:hAnsi="Arial" w:cs="Arial"/>
                <w:sz w:val="18"/>
                <w:szCs w:val="18"/>
                <w:highlight w:val="lightGray"/>
                <w:vertAlign w:val="superscript"/>
              </w:rPr>
              <w:t>2</w:t>
            </w:r>
            <w:r>
              <w:rPr>
                <w:rFonts w:ascii="Arial" w:eastAsia="Times New Roman" w:hAnsi="Arial" w:cs="Arial"/>
                <w:sz w:val="18"/>
                <w:szCs w:val="18"/>
                <w:highlight w:val="lightGray"/>
              </w:rPr>
              <w:t xml:space="preserve">)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0F170135" w14:textId="77777777" w:rsidR="00170CF8" w:rsidRDefault="00170CF8" w:rsidP="00170CF8">
      <w:pPr>
        <w:tabs>
          <w:tab w:val="left" w:pos="6480"/>
          <w:tab w:val="left" w:pos="7920"/>
          <w:tab w:val="left" w:pos="8370"/>
        </w:tabs>
        <w:spacing w:before="0" w:beforeAutospacing="0" w:after="80"/>
        <w:rPr>
          <w:rFonts w:ascii="Arial" w:eastAsia="Times New Roman" w:hAnsi="Arial" w:cs="Arial"/>
          <w:sz w:val="18"/>
          <w:szCs w:val="18"/>
        </w:rPr>
      </w:pPr>
    </w:p>
    <w:p w14:paraId="009618A9" w14:textId="77777777" w:rsidR="00170CF8" w:rsidRDefault="00170CF8" w:rsidP="00170CF8">
      <w:pPr>
        <w:rPr>
          <w:rFonts w:ascii="Arial" w:eastAsia="Times New Roman" w:hAnsi="Arial" w:cs="Arial"/>
          <w:sz w:val="18"/>
          <w:szCs w:val="18"/>
        </w:rPr>
      </w:pPr>
      <w:r>
        <w:rPr>
          <w:rFonts w:ascii="Arial" w:eastAsia="Times New Roman" w:hAnsi="Arial" w:cs="Arial"/>
          <w:sz w:val="18"/>
          <w:szCs w:val="18"/>
        </w:rPr>
        <w:br w:type="page"/>
      </w:r>
    </w:p>
    <w:p w14:paraId="193CCD09" w14:textId="77777777" w:rsidR="00170CF8" w:rsidRDefault="00170CF8" w:rsidP="00170CF8">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4C928A3E" w14:textId="77777777" w:rsidR="00170CF8" w:rsidRDefault="00170CF8" w:rsidP="00170CF8">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2CCE45CD" w14:textId="77777777" w:rsidR="00170CF8" w:rsidRDefault="00170CF8" w:rsidP="00170CF8">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0058A065"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630DEAC7"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27F4B4F4"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71CEC2A3"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240DEACA"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44F51FB9"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ACEDBF8"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3CD971D1"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7CF025A8"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3E189DB" w14:textId="77777777" w:rsidR="00170CF8" w:rsidRDefault="00170CF8" w:rsidP="00170CF8">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1E7258B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23C27398" w14:textId="77777777" w:rsidR="00170CF8" w:rsidRDefault="00170CF8" w:rsidP="00170CF8">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75D9658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0181D8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2831435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04F2550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5FB3B165"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0BA96C13"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7DA3DC75"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124D604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3D7258E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66C8A393"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A38379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19B85E24"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510041DA"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11EB1992"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0340B38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352D4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671786D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0C9DBD5B"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1A76033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3C65D61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29D3991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5A49B3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06E345A1"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57F2F140"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1E1E1432"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02F983E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9450DAE"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92A95D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61C4455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41A4A5F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80F27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41E390DC"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2390D88"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71C8EA6D" w14:textId="77777777" w:rsidR="00170CF8" w:rsidRDefault="00170CF8" w:rsidP="00170CF8">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43D6578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E7A5BD"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21CE0E24"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0143AE"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408E6ACA"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2A3958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Note:</w:t>
      </w:r>
    </w:p>
    <w:p w14:paraId="48AC6D8E" w14:textId="77777777" w:rsidR="00170CF8" w:rsidRDefault="00170CF8" w:rsidP="00170CF8">
      <w:pPr>
        <w:widowControl w:val="0"/>
        <w:autoSpaceDE w:val="0"/>
        <w:autoSpaceDN w:val="0"/>
        <w:spacing w:before="0" w:beforeAutospacing="0"/>
        <w:rPr>
          <w:rFonts w:ascii="Arial" w:eastAsia="Times New Roman" w:hAnsi="Arial" w:cs="Arial"/>
          <w:sz w:val="40"/>
          <w:szCs w:val="40"/>
          <w:lang w:bidi="en-US"/>
        </w:rPr>
      </w:pPr>
      <w:r>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t xml:space="preserve">The final Sizing code revision above passed the FBC Commission April 7 and means that we will have criteria for the Bathing Load, Recirculation Flow Rate (in GPM), and the area of pool(s), but not specifically the water volume. Water </w:t>
      </w:r>
      <w:r w:rsidRPr="007C1E56">
        <w:rPr>
          <w:sz w:val="20"/>
          <w:szCs w:val="20"/>
        </w:rPr>
        <w:lastRenderedPageBreak/>
        <w:t>volume is indirectly set by other requirements of the code: minimum/max. depths, minimum width, and for spas and IWFs, by turnover period.</w:t>
      </w:r>
    </w:p>
    <w:sectPr w:rsidR="003F3107" w:rsidRPr="007C1E56" w:rsidSect="00F253C2">
      <w:headerReference w:type="default" r:id="rId13"/>
      <w:footerReference w:type="default" r:id="rId14"/>
      <w:headerReference w:type="first" r:id="rId15"/>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3D8B" w14:textId="77777777" w:rsidR="006277D5" w:rsidRDefault="006277D5" w:rsidP="00EE4618">
      <w:pPr>
        <w:spacing w:before="0"/>
      </w:pPr>
      <w:r>
        <w:separator/>
      </w:r>
    </w:p>
  </w:endnote>
  <w:endnote w:type="continuationSeparator" w:id="0">
    <w:p w14:paraId="79FDCABD" w14:textId="77777777" w:rsidR="006277D5" w:rsidRDefault="006277D5"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0485" w14:textId="77777777" w:rsidR="006277D5" w:rsidRDefault="006277D5" w:rsidP="00EE4618">
      <w:pPr>
        <w:spacing w:before="0"/>
      </w:pPr>
      <w:r>
        <w:separator/>
      </w:r>
    </w:p>
  </w:footnote>
  <w:footnote w:type="continuationSeparator" w:id="0">
    <w:p w14:paraId="3A5EE5E3" w14:textId="77777777" w:rsidR="006277D5" w:rsidRDefault="006277D5"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723A54BF"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F322BA">
      <w:rPr>
        <w:rFonts w:ascii="Arial" w:eastAsia="Times New Roman" w:hAnsi="Arial" w:cs="Arial"/>
        <w:b/>
        <w:sz w:val="18"/>
        <w:szCs w:val="18"/>
      </w:rPr>
      <w:t>IWF</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2470EA9C"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B04C64">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2F5B659F"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B04C64">
            <w:rPr>
              <w:rFonts w:ascii="Arial" w:eastAsia="Times New Roman" w:hAnsi="Arial" w:cs="Arial"/>
              <w:b/>
              <w:noProof/>
              <w:sz w:val="18"/>
              <w:szCs w:val="18"/>
            </w:rPr>
            <w:t>1/5/2023</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03FD9D40"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F322BA">
      <w:rPr>
        <w:rFonts w:ascii="Arial" w:eastAsia="Times New Roman" w:hAnsi="Arial" w:cs="Arial"/>
        <w:b/>
        <w:sz w:val="18"/>
        <w:szCs w:val="18"/>
      </w:rPr>
      <w:t>IWF</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0F24F2">
      <w:rPr>
        <w:rFonts w:ascii="Arial" w:eastAsia="Times New Roman" w:hAnsi="Arial" w:cs="Arial"/>
        <w:b/>
        <w:sz w:val="18"/>
        <w:szCs w:val="18"/>
      </w:rPr>
      <w:t>1</w:t>
    </w:r>
    <w:r w:rsidR="001A5D90">
      <w:rPr>
        <w:rFonts w:ascii="Arial" w:eastAsia="Times New Roman" w:hAnsi="Arial" w:cs="Arial"/>
        <w:b/>
        <w:sz w:val="18"/>
        <w:szCs w:val="18"/>
      </w:rPr>
      <w:t>/</w:t>
    </w:r>
    <w:r w:rsidR="000F24F2">
      <w:rPr>
        <w:rFonts w:ascii="Arial" w:eastAsia="Times New Roman" w:hAnsi="Arial" w:cs="Arial"/>
        <w:b/>
        <w:sz w:val="18"/>
        <w:szCs w:val="18"/>
      </w:rPr>
      <w:t>19</w:t>
    </w:r>
    <w:r w:rsidRPr="00582BE1">
      <w:rPr>
        <w:rFonts w:ascii="Arial" w:eastAsia="Times New Roman" w:hAnsi="Arial" w:cs="Arial"/>
        <w:b/>
        <w:sz w:val="18"/>
        <w:szCs w:val="18"/>
      </w:rPr>
      <w:t>/2</w:t>
    </w:r>
    <w:r w:rsidR="000F24F2">
      <w:rPr>
        <w:rFonts w:ascii="Arial" w:eastAsia="Times New Roman" w:hAnsi="Arial" w:cs="Arial"/>
        <w:b/>
        <w:sz w:val="18"/>
        <w:szCs w:val="18"/>
      </w:rPr>
      <w:t>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24F2"/>
    <w:rsid w:val="000F415E"/>
    <w:rsid w:val="000F519B"/>
    <w:rsid w:val="000F78E4"/>
    <w:rsid w:val="0010268F"/>
    <w:rsid w:val="00131A59"/>
    <w:rsid w:val="0014392E"/>
    <w:rsid w:val="00152595"/>
    <w:rsid w:val="001542CA"/>
    <w:rsid w:val="0016007E"/>
    <w:rsid w:val="00170CF8"/>
    <w:rsid w:val="00170EFB"/>
    <w:rsid w:val="0017482F"/>
    <w:rsid w:val="0017496A"/>
    <w:rsid w:val="001816F8"/>
    <w:rsid w:val="00186879"/>
    <w:rsid w:val="001947AA"/>
    <w:rsid w:val="001950AA"/>
    <w:rsid w:val="001A5D90"/>
    <w:rsid w:val="001B11BA"/>
    <w:rsid w:val="001B725B"/>
    <w:rsid w:val="001D2970"/>
    <w:rsid w:val="001D66A6"/>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6661"/>
    <w:rsid w:val="0031791F"/>
    <w:rsid w:val="00327A7C"/>
    <w:rsid w:val="00330B61"/>
    <w:rsid w:val="00332AB4"/>
    <w:rsid w:val="0034591E"/>
    <w:rsid w:val="00350AFC"/>
    <w:rsid w:val="00357285"/>
    <w:rsid w:val="003658BB"/>
    <w:rsid w:val="003706EC"/>
    <w:rsid w:val="00385480"/>
    <w:rsid w:val="0038599A"/>
    <w:rsid w:val="0039614F"/>
    <w:rsid w:val="003B5956"/>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BB7"/>
    <w:rsid w:val="004F7F63"/>
    <w:rsid w:val="00522FA5"/>
    <w:rsid w:val="00536477"/>
    <w:rsid w:val="005478A0"/>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277D5"/>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15AD"/>
    <w:rsid w:val="00A06E82"/>
    <w:rsid w:val="00A15B0C"/>
    <w:rsid w:val="00A15DD0"/>
    <w:rsid w:val="00A2074A"/>
    <w:rsid w:val="00A20E4B"/>
    <w:rsid w:val="00A253C5"/>
    <w:rsid w:val="00A30563"/>
    <w:rsid w:val="00A31CD4"/>
    <w:rsid w:val="00A44258"/>
    <w:rsid w:val="00A5787E"/>
    <w:rsid w:val="00A57EC1"/>
    <w:rsid w:val="00A67ED4"/>
    <w:rsid w:val="00A97CEA"/>
    <w:rsid w:val="00AA6FC3"/>
    <w:rsid w:val="00AA7227"/>
    <w:rsid w:val="00AB6877"/>
    <w:rsid w:val="00AB7929"/>
    <w:rsid w:val="00AC1172"/>
    <w:rsid w:val="00AE2CA7"/>
    <w:rsid w:val="00AF19BD"/>
    <w:rsid w:val="00B03B98"/>
    <w:rsid w:val="00B04C64"/>
    <w:rsid w:val="00B131B1"/>
    <w:rsid w:val="00B16E3E"/>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D487B"/>
    <w:rsid w:val="00CE3A5B"/>
    <w:rsid w:val="00CE48DC"/>
    <w:rsid w:val="00CF5D52"/>
    <w:rsid w:val="00D0344E"/>
    <w:rsid w:val="00D05B45"/>
    <w:rsid w:val="00D20291"/>
    <w:rsid w:val="00D23A16"/>
    <w:rsid w:val="00D30706"/>
    <w:rsid w:val="00D307E5"/>
    <w:rsid w:val="00D30C34"/>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5BBB"/>
    <w:rsid w:val="00ED71BB"/>
    <w:rsid w:val="00EE4618"/>
    <w:rsid w:val="00EE760A"/>
    <w:rsid w:val="00EF1B8E"/>
    <w:rsid w:val="00F03406"/>
    <w:rsid w:val="00F07A21"/>
    <w:rsid w:val="00F146C6"/>
    <w:rsid w:val="00F15515"/>
    <w:rsid w:val="00F20646"/>
    <w:rsid w:val="00F253C2"/>
    <w:rsid w:val="00F27268"/>
    <w:rsid w:val="00F322BA"/>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53431606-08FA-4213-8085-BADE767F5796}">
  <ds:schemaRefs>
    <ds:schemaRef ds:uri="http://schemas.openxmlformats.org/officeDocument/2006/bibliography"/>
  </ds:schemaRefs>
</ds:datastoreItem>
</file>

<file path=customXml/itemProps3.xml><?xml version="1.0" encoding="utf-8"?>
<ds:datastoreItem xmlns:ds="http://schemas.openxmlformats.org/officeDocument/2006/customXml" ds:itemID="{68C69E5E-9C6C-4BC2-893A-53D5E6589E28}"/>
</file>

<file path=customXml/itemProps4.xml><?xml version="1.0" encoding="utf-8"?>
<ds:datastoreItem xmlns:ds="http://schemas.openxmlformats.org/officeDocument/2006/customXml" ds:itemID="{42BE20CE-7E68-4BB6-BCEA-5C5A3B3C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8472</Words>
  <Characters>48294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DeVore, Alison</cp:lastModifiedBy>
  <cp:revision>11</cp:revision>
  <cp:lastPrinted>2016-10-19T16:35:00Z</cp:lastPrinted>
  <dcterms:created xsi:type="dcterms:W3CDTF">2022-01-19T18:26:00Z</dcterms:created>
  <dcterms:modified xsi:type="dcterms:W3CDTF">2023-01-05T17:39:00Z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