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432"/>
        <w:gridCol w:w="1227"/>
        <w:gridCol w:w="6220"/>
      </w:tblGrid>
      <w:tr w:rsidR="00376108" w:rsidRPr="00C91956" w:rsidTr="00BA0839">
        <w:trPr>
          <w:cantSplit/>
          <w:tblHeader/>
        </w:trPr>
        <w:tc>
          <w:tcPr>
            <w:tcW w:w="1231" w:type="pct"/>
            <w:shd w:val="clear" w:color="auto" w:fill="D9D9D9" w:themeFill="background1" w:themeFillShade="D9"/>
            <w:hideMark/>
          </w:tcPr>
          <w:p w:rsidR="00376108" w:rsidRPr="00C91956" w:rsidRDefault="00376108" w:rsidP="00BA0839">
            <w:pPr>
              <w:pStyle w:val="TableParagraph"/>
              <w:spacing w:before="39"/>
              <w:rPr>
                <w:rFonts w:cs="Arial"/>
                <w:b/>
                <w:color w:val="000000" w:themeColor="text1"/>
              </w:rPr>
            </w:pPr>
            <w:r w:rsidRPr="00C91956">
              <w:rPr>
                <w:rFonts w:cs="Arial"/>
                <w:b/>
                <w:color w:val="000000" w:themeColor="text1"/>
              </w:rPr>
              <w:t>Position/ Title</w:t>
            </w:r>
          </w:p>
        </w:tc>
        <w:tc>
          <w:tcPr>
            <w:tcW w:w="621" w:type="pct"/>
            <w:shd w:val="clear" w:color="auto" w:fill="D9D9D9" w:themeFill="background1" w:themeFillShade="D9"/>
            <w:hideMark/>
          </w:tcPr>
          <w:p w:rsidR="00376108" w:rsidRPr="00C91956" w:rsidRDefault="00376108" w:rsidP="00BA0839">
            <w:pPr>
              <w:pStyle w:val="TableParagraph"/>
              <w:spacing w:before="39"/>
              <w:rPr>
                <w:rFonts w:cs="Arial"/>
                <w:b/>
                <w:color w:val="000000" w:themeColor="text1"/>
              </w:rPr>
            </w:pPr>
            <w:r w:rsidRPr="00C91956">
              <w:rPr>
                <w:rFonts w:cs="Arial"/>
                <w:b/>
                <w:color w:val="000000" w:themeColor="text1"/>
              </w:rPr>
              <w:t>Florida Location Required (Yes/No)</w:t>
            </w:r>
          </w:p>
        </w:tc>
        <w:tc>
          <w:tcPr>
            <w:tcW w:w="3149" w:type="pct"/>
            <w:shd w:val="clear" w:color="auto" w:fill="D9D9D9" w:themeFill="background1" w:themeFillShade="D9"/>
            <w:hideMark/>
          </w:tcPr>
          <w:p w:rsidR="00376108" w:rsidRPr="00C91956" w:rsidRDefault="00376108" w:rsidP="00BA0839">
            <w:pPr>
              <w:pStyle w:val="TableParagraph"/>
              <w:spacing w:before="39"/>
              <w:rPr>
                <w:rFonts w:cs="Arial"/>
                <w:b/>
                <w:color w:val="000000" w:themeColor="text1"/>
              </w:rPr>
            </w:pPr>
            <w:r w:rsidRPr="00C91956">
              <w:rPr>
                <w:rFonts w:cs="Arial"/>
                <w:b/>
                <w:color w:val="000000" w:themeColor="text1"/>
              </w:rPr>
              <w:t>CMS Requirements</w:t>
            </w:r>
          </w:p>
        </w:tc>
      </w:tr>
      <w:tr w:rsidR="00376108" w:rsidRPr="00C91956" w:rsidTr="00BA0839">
        <w:trPr>
          <w:cantSplit/>
        </w:trPr>
        <w:tc>
          <w:tcPr>
            <w:tcW w:w="5000" w:type="pct"/>
            <w:gridSpan w:val="3"/>
            <w:shd w:val="clear" w:color="auto" w:fill="D9D9D9" w:themeFill="background1" w:themeFillShade="D9"/>
            <w:hideMark/>
          </w:tcPr>
          <w:p w:rsidR="00376108" w:rsidRPr="00C91956" w:rsidRDefault="00376108" w:rsidP="00BA0839">
            <w:pPr>
              <w:pStyle w:val="TableParagraph"/>
              <w:spacing w:before="39"/>
              <w:rPr>
                <w:sz w:val="16"/>
                <w:szCs w:val="16"/>
              </w:rPr>
            </w:pPr>
            <w:r w:rsidRPr="00F34821">
              <w:rPr>
                <w:rFonts w:cs="Arial"/>
                <w:b/>
                <w:color w:val="000000" w:themeColor="text1"/>
              </w:rPr>
              <w:t>Key Staff</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Contract Manager for </w:t>
            </w:r>
            <w:r>
              <w:rPr>
                <w:color w:val="auto"/>
                <w:sz w:val="21"/>
                <w:szCs w:val="21"/>
              </w:rPr>
              <w:t>Respondent</w:t>
            </w:r>
            <w:r w:rsidRPr="00F34821">
              <w:rPr>
                <w:color w:val="auto"/>
                <w:sz w:val="21"/>
                <w:szCs w:val="21"/>
              </w:rPr>
              <w:t xml:space="preserve"> to CMS Plan</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Dedicate one hundred percent of their time employed </w:t>
            </w:r>
            <w:r w:rsidRPr="00F34821">
              <w:rPr>
                <w:color w:val="auto"/>
                <w:spacing w:val="-2"/>
                <w:sz w:val="21"/>
                <w:szCs w:val="21"/>
              </w:rPr>
              <w:t>with</w:t>
            </w:r>
            <w:r w:rsidRPr="00F34821">
              <w:rPr>
                <w:color w:val="auto"/>
                <w:spacing w:val="59"/>
                <w:w w:val="101"/>
                <w:sz w:val="21"/>
                <w:szCs w:val="21"/>
              </w:rPr>
              <w:t xml:space="preserve"> </w:t>
            </w:r>
            <w:r w:rsidRPr="00F34821">
              <w:rPr>
                <w:color w:val="auto"/>
                <w:sz w:val="21"/>
                <w:szCs w:val="21"/>
              </w:rPr>
              <w:t>the</w:t>
            </w:r>
            <w:r w:rsidRPr="00F34821">
              <w:rPr>
                <w:color w:val="auto"/>
                <w:spacing w:val="3"/>
                <w:sz w:val="21"/>
                <w:szCs w:val="21"/>
              </w:rPr>
              <w:t xml:space="preserve"> </w:t>
            </w:r>
            <w:r w:rsidRPr="00F34821">
              <w:rPr>
                <w:color w:val="auto"/>
                <w:sz w:val="21"/>
                <w:szCs w:val="21"/>
              </w:rPr>
              <w:t>Managed</w:t>
            </w:r>
            <w:r w:rsidRPr="00F34821">
              <w:rPr>
                <w:color w:val="auto"/>
                <w:spacing w:val="57"/>
                <w:sz w:val="21"/>
                <w:szCs w:val="21"/>
              </w:rPr>
              <w:t xml:space="preserve"> </w:t>
            </w:r>
            <w:r w:rsidRPr="00F34821">
              <w:rPr>
                <w:color w:val="auto"/>
                <w:sz w:val="21"/>
                <w:szCs w:val="21"/>
              </w:rPr>
              <w:t>Care</w:t>
            </w:r>
            <w:r w:rsidRPr="00F34821">
              <w:rPr>
                <w:color w:val="auto"/>
                <w:spacing w:val="57"/>
                <w:sz w:val="21"/>
                <w:szCs w:val="21"/>
              </w:rPr>
              <w:t xml:space="preserve"> </w:t>
            </w:r>
            <w:r>
              <w:rPr>
                <w:color w:val="auto"/>
                <w:sz w:val="21"/>
                <w:szCs w:val="21"/>
              </w:rPr>
              <w:t>Vendor</w:t>
            </w:r>
            <w:r w:rsidRPr="00F34821">
              <w:rPr>
                <w:color w:val="auto"/>
                <w:spacing w:val="1"/>
                <w:sz w:val="21"/>
                <w:szCs w:val="21"/>
              </w:rPr>
              <w:t xml:space="preserve"> </w:t>
            </w:r>
            <w:r w:rsidRPr="00F34821">
              <w:rPr>
                <w:color w:val="auto"/>
                <w:sz w:val="21"/>
                <w:szCs w:val="21"/>
              </w:rPr>
              <w:t>to</w:t>
            </w:r>
            <w:r w:rsidRPr="00F34821">
              <w:rPr>
                <w:color w:val="auto"/>
                <w:spacing w:val="4"/>
                <w:sz w:val="21"/>
                <w:szCs w:val="21"/>
              </w:rPr>
              <w:t xml:space="preserve"> </w:t>
            </w:r>
            <w:r w:rsidRPr="00F34821">
              <w:rPr>
                <w:color w:val="auto"/>
                <w:sz w:val="21"/>
                <w:szCs w:val="21"/>
              </w:rPr>
              <w:t>this CMS Plan</w:t>
            </w:r>
            <w:r w:rsidRPr="00F34821">
              <w:rPr>
                <w:color w:val="auto"/>
                <w:spacing w:val="57"/>
                <w:sz w:val="21"/>
                <w:szCs w:val="21"/>
              </w:rPr>
              <w:t xml:space="preserve"> </w:t>
            </w:r>
            <w:r w:rsidRPr="00F34821">
              <w:rPr>
                <w:color w:val="auto"/>
                <w:sz w:val="21"/>
                <w:szCs w:val="21"/>
              </w:rPr>
              <w:t>Contract</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Administrator/CEO/COO</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Oversees entire operation of </w:t>
            </w:r>
            <w:r>
              <w:rPr>
                <w:color w:val="auto"/>
                <w:sz w:val="21"/>
                <w:szCs w:val="21"/>
              </w:rPr>
              <w:t>Respondent</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CFO</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Full-time FTE devoted to CMS Plan finance</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Information System Director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Full-time FTE devoted to CMS Plan IT</w:t>
            </w:r>
          </w:p>
          <w:p w:rsidR="00376108" w:rsidRPr="00F34821" w:rsidRDefault="00376108" w:rsidP="00BA0839">
            <w:pPr>
              <w:pStyle w:val="TableBullet1"/>
              <w:rPr>
                <w:color w:val="auto"/>
                <w:sz w:val="21"/>
                <w:szCs w:val="21"/>
              </w:rPr>
            </w:pPr>
            <w:r w:rsidRPr="00F34821">
              <w:rPr>
                <w:color w:val="auto"/>
                <w:sz w:val="21"/>
                <w:szCs w:val="21"/>
              </w:rPr>
              <w:t>Experience and expertise in Medicaid and CHIP data analytics and data systems.</w:t>
            </w:r>
          </w:p>
          <w:p w:rsidR="00376108" w:rsidRPr="00F34821" w:rsidRDefault="00376108" w:rsidP="00BA0839">
            <w:pPr>
              <w:pStyle w:val="TableBullet1"/>
              <w:rPr>
                <w:color w:val="auto"/>
                <w:sz w:val="21"/>
                <w:szCs w:val="21"/>
              </w:rPr>
            </w:pPr>
            <w:r w:rsidRPr="00F34821">
              <w:rPr>
                <w:color w:val="auto"/>
                <w:sz w:val="21"/>
                <w:szCs w:val="21"/>
              </w:rPr>
              <w:t>Knowledge of all federal and state laws governing the confidentiality and security of protected health information, including confidential mental health and SUD information.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Medical Director for Children’s Services</w:t>
            </w:r>
          </w:p>
          <w:p w:rsidR="00376108" w:rsidRPr="00F34821" w:rsidRDefault="00376108" w:rsidP="00BA0839">
            <w:pPr>
              <w:pStyle w:val="TableText"/>
              <w:rPr>
                <w:color w:val="auto"/>
                <w:sz w:val="21"/>
                <w:szCs w:val="21"/>
              </w:rPr>
            </w:pPr>
            <w:r w:rsidRPr="00F34821">
              <w:rPr>
                <w:color w:val="auto"/>
                <w:sz w:val="21"/>
                <w:szCs w:val="21"/>
              </w:rPr>
              <w:t>(AHCA Required)</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Florida license as a physician</w:t>
            </w:r>
          </w:p>
          <w:p w:rsidR="00376108" w:rsidRPr="00F34821" w:rsidRDefault="00376108" w:rsidP="00BA0839">
            <w:pPr>
              <w:pStyle w:val="TableBullet1"/>
              <w:rPr>
                <w:color w:val="auto"/>
                <w:sz w:val="21"/>
                <w:szCs w:val="21"/>
              </w:rPr>
            </w:pPr>
            <w:r w:rsidRPr="00F34821">
              <w:rPr>
                <w:color w:val="auto"/>
                <w:sz w:val="21"/>
                <w:szCs w:val="21"/>
              </w:rPr>
              <w:t>Minimum of five years of experience working with children in managed care settings or clinical settings (at least two years must be in a clinical setting)</w:t>
            </w:r>
          </w:p>
          <w:p w:rsidR="00376108" w:rsidRPr="00F34821" w:rsidRDefault="00376108" w:rsidP="00BA0839">
            <w:pPr>
              <w:pStyle w:val="TableBullet1"/>
              <w:rPr>
                <w:color w:val="auto"/>
                <w:sz w:val="21"/>
                <w:szCs w:val="21"/>
              </w:rPr>
            </w:pPr>
            <w:r w:rsidRPr="00F34821">
              <w:rPr>
                <w:color w:val="auto"/>
                <w:sz w:val="21"/>
                <w:szCs w:val="21"/>
              </w:rPr>
              <w:t xml:space="preserve">Board certified in Pediatrics </w:t>
            </w:r>
          </w:p>
          <w:p w:rsidR="00376108" w:rsidRPr="00F34821" w:rsidRDefault="00376108" w:rsidP="00BA0839">
            <w:pPr>
              <w:pStyle w:val="TableBullet1"/>
              <w:rPr>
                <w:color w:val="auto"/>
                <w:sz w:val="21"/>
                <w:szCs w:val="21"/>
              </w:rPr>
            </w:pPr>
            <w:r w:rsidRPr="00F34821">
              <w:rPr>
                <w:color w:val="auto"/>
                <w:sz w:val="21"/>
                <w:szCs w:val="21"/>
              </w:rPr>
              <w:t xml:space="preserve">The designated medical director </w:t>
            </w:r>
            <w:r>
              <w:rPr>
                <w:color w:val="auto"/>
                <w:sz w:val="21"/>
                <w:szCs w:val="21"/>
              </w:rPr>
              <w:t>will</w:t>
            </w:r>
            <w:r w:rsidRPr="00F34821">
              <w:rPr>
                <w:color w:val="auto"/>
                <w:sz w:val="21"/>
                <w:szCs w:val="21"/>
              </w:rPr>
              <w:t xml:space="preserve"> have the experience and knowledge of the unique and complex needs of the Medically Complex population and all needed state child serving systems.</w:t>
            </w:r>
          </w:p>
          <w:p w:rsidR="00376108" w:rsidRPr="00F34821" w:rsidRDefault="00376108" w:rsidP="00BA0839">
            <w:pPr>
              <w:pStyle w:val="TableBullet1"/>
              <w:rPr>
                <w:i/>
                <w:color w:val="auto"/>
                <w:sz w:val="21"/>
                <w:szCs w:val="21"/>
              </w:rPr>
            </w:pPr>
            <w:r w:rsidRPr="00F34821">
              <w:rPr>
                <w:color w:val="auto"/>
                <w:sz w:val="21"/>
                <w:szCs w:val="21"/>
              </w:rPr>
              <w:t xml:space="preserve">Time allocation for this position must be at a minimum of 1 FTE. </w:t>
            </w:r>
          </w:p>
          <w:p w:rsidR="00376108" w:rsidRPr="00F34821" w:rsidRDefault="00376108" w:rsidP="00BA0839">
            <w:pPr>
              <w:pStyle w:val="TableBullet1"/>
              <w:rPr>
                <w:color w:val="auto"/>
                <w:sz w:val="21"/>
                <w:szCs w:val="21"/>
              </w:rPr>
            </w:pPr>
            <w:r>
              <w:rPr>
                <w:color w:val="auto"/>
                <w:sz w:val="21"/>
                <w:szCs w:val="21"/>
              </w:rPr>
              <w:t>Respondent</w:t>
            </w:r>
            <w:r w:rsidRPr="00F34821">
              <w:rPr>
                <w:color w:val="auto"/>
                <w:sz w:val="21"/>
                <w:szCs w:val="21"/>
              </w:rPr>
              <w:t xml:space="preserve"> may submit a request to waive the minimum allocation of time with appropriate documentation for CMS’s review and approval.</w:t>
            </w:r>
          </w:p>
        </w:tc>
      </w:tr>
      <w:tr w:rsidR="00376108" w:rsidRPr="00C91956" w:rsidTr="00BA0839">
        <w:trPr>
          <w:cantSplit/>
        </w:trPr>
        <w:tc>
          <w:tcPr>
            <w:tcW w:w="1231" w:type="pct"/>
            <w:shd w:val="clear" w:color="auto" w:fill="auto"/>
          </w:tcPr>
          <w:p w:rsidR="00376108" w:rsidRPr="00F34821" w:rsidRDefault="00376108" w:rsidP="00BA0839">
            <w:pPr>
              <w:pStyle w:val="TableText"/>
              <w:rPr>
                <w:color w:val="auto"/>
                <w:sz w:val="21"/>
                <w:szCs w:val="21"/>
              </w:rPr>
            </w:pPr>
            <w:r w:rsidRPr="00F34821">
              <w:rPr>
                <w:color w:val="auto"/>
                <w:sz w:val="21"/>
                <w:szCs w:val="21"/>
              </w:rPr>
              <w:t>Compliance Officer</w:t>
            </w:r>
          </w:p>
          <w:p w:rsidR="00376108" w:rsidRPr="00F34821" w:rsidRDefault="00376108" w:rsidP="00BA0839">
            <w:pPr>
              <w:pStyle w:val="TableText"/>
              <w:rPr>
                <w:color w:val="auto"/>
                <w:sz w:val="21"/>
                <w:szCs w:val="21"/>
              </w:rPr>
            </w:pP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 xml:space="preserve">Dedicate one hundred percent of their time employed </w:t>
            </w:r>
            <w:r w:rsidRPr="00F34821">
              <w:rPr>
                <w:color w:val="auto"/>
                <w:spacing w:val="-2"/>
                <w:sz w:val="21"/>
                <w:szCs w:val="21"/>
              </w:rPr>
              <w:t>with</w:t>
            </w:r>
            <w:r w:rsidRPr="00F34821">
              <w:rPr>
                <w:color w:val="auto"/>
                <w:spacing w:val="59"/>
                <w:w w:val="101"/>
                <w:sz w:val="21"/>
                <w:szCs w:val="21"/>
              </w:rPr>
              <w:t xml:space="preserve"> </w:t>
            </w:r>
            <w:r w:rsidRPr="00F34821">
              <w:rPr>
                <w:color w:val="auto"/>
                <w:sz w:val="21"/>
                <w:szCs w:val="21"/>
              </w:rPr>
              <w:t>the</w:t>
            </w:r>
            <w:r w:rsidRPr="00F34821">
              <w:rPr>
                <w:color w:val="auto"/>
                <w:spacing w:val="3"/>
                <w:sz w:val="21"/>
                <w:szCs w:val="21"/>
              </w:rPr>
              <w:t xml:space="preserve"> </w:t>
            </w:r>
            <w:r w:rsidRPr="00F34821">
              <w:rPr>
                <w:color w:val="auto"/>
                <w:sz w:val="21"/>
                <w:szCs w:val="21"/>
              </w:rPr>
              <w:t>Managed</w:t>
            </w:r>
            <w:r w:rsidRPr="00F34821">
              <w:rPr>
                <w:color w:val="auto"/>
                <w:spacing w:val="57"/>
                <w:sz w:val="21"/>
                <w:szCs w:val="21"/>
              </w:rPr>
              <w:t xml:space="preserve"> </w:t>
            </w:r>
            <w:r w:rsidRPr="00F34821">
              <w:rPr>
                <w:color w:val="auto"/>
                <w:sz w:val="21"/>
                <w:szCs w:val="21"/>
              </w:rPr>
              <w:t>Care</w:t>
            </w:r>
            <w:r w:rsidRPr="00F34821">
              <w:rPr>
                <w:color w:val="auto"/>
                <w:spacing w:val="57"/>
                <w:sz w:val="21"/>
                <w:szCs w:val="21"/>
              </w:rPr>
              <w:t xml:space="preserve"> </w:t>
            </w:r>
            <w:r>
              <w:rPr>
                <w:color w:val="auto"/>
                <w:sz w:val="21"/>
                <w:szCs w:val="21"/>
              </w:rPr>
              <w:t>Vendor</w:t>
            </w:r>
            <w:r w:rsidRPr="00F34821">
              <w:rPr>
                <w:color w:val="auto"/>
                <w:spacing w:val="1"/>
                <w:sz w:val="21"/>
                <w:szCs w:val="21"/>
              </w:rPr>
              <w:t xml:space="preserve"> </w:t>
            </w:r>
            <w:r w:rsidRPr="00F34821">
              <w:rPr>
                <w:color w:val="auto"/>
                <w:sz w:val="21"/>
                <w:szCs w:val="21"/>
              </w:rPr>
              <w:t>to</w:t>
            </w:r>
            <w:r w:rsidRPr="00F34821">
              <w:rPr>
                <w:color w:val="auto"/>
                <w:spacing w:val="4"/>
                <w:sz w:val="21"/>
                <w:szCs w:val="21"/>
              </w:rPr>
              <w:t xml:space="preserve"> </w:t>
            </w:r>
            <w:r w:rsidRPr="00F34821">
              <w:rPr>
                <w:color w:val="auto"/>
                <w:sz w:val="21"/>
                <w:szCs w:val="21"/>
              </w:rPr>
              <w:t>this CMS Plan Contract</w:t>
            </w:r>
          </w:p>
          <w:p w:rsidR="00376108" w:rsidRPr="00F34821" w:rsidRDefault="00376108" w:rsidP="00BA0839">
            <w:pPr>
              <w:pStyle w:val="TableBullet1"/>
              <w:rPr>
                <w:color w:val="auto"/>
                <w:sz w:val="21"/>
                <w:szCs w:val="21"/>
              </w:rPr>
            </w:pPr>
            <w:r w:rsidRPr="00F34821">
              <w:rPr>
                <w:color w:val="auto"/>
                <w:sz w:val="21"/>
                <w:szCs w:val="21"/>
              </w:rPr>
              <w:t>Qualified</w:t>
            </w:r>
            <w:r w:rsidRPr="00F34821">
              <w:rPr>
                <w:color w:val="auto"/>
                <w:spacing w:val="22"/>
                <w:sz w:val="21"/>
                <w:szCs w:val="21"/>
              </w:rPr>
              <w:t xml:space="preserve"> </w:t>
            </w:r>
            <w:r w:rsidRPr="00F34821">
              <w:rPr>
                <w:color w:val="auto"/>
                <w:spacing w:val="-2"/>
                <w:sz w:val="21"/>
                <w:szCs w:val="21"/>
              </w:rPr>
              <w:t>by</w:t>
            </w:r>
            <w:r w:rsidRPr="00F34821">
              <w:rPr>
                <w:color w:val="auto"/>
                <w:spacing w:val="67"/>
                <w:w w:val="101"/>
                <w:sz w:val="21"/>
                <w:szCs w:val="21"/>
              </w:rPr>
              <w:t xml:space="preserve"> </w:t>
            </w:r>
            <w:r w:rsidRPr="00F34821">
              <w:rPr>
                <w:color w:val="auto"/>
                <w:sz w:val="21"/>
                <w:szCs w:val="21"/>
              </w:rPr>
              <w:t>knowledge,</w:t>
            </w:r>
            <w:r w:rsidRPr="00F34821">
              <w:rPr>
                <w:color w:val="auto"/>
                <w:spacing w:val="13"/>
                <w:sz w:val="21"/>
                <w:szCs w:val="21"/>
              </w:rPr>
              <w:t xml:space="preserve"> </w:t>
            </w:r>
            <w:r w:rsidRPr="00F34821">
              <w:rPr>
                <w:color w:val="auto"/>
                <w:sz w:val="21"/>
                <w:szCs w:val="21"/>
              </w:rPr>
              <w:t>training,</w:t>
            </w:r>
            <w:r w:rsidRPr="00F34821">
              <w:rPr>
                <w:color w:val="auto"/>
                <w:spacing w:val="17"/>
                <w:sz w:val="21"/>
                <w:szCs w:val="21"/>
              </w:rPr>
              <w:t xml:space="preserve"> </w:t>
            </w:r>
            <w:r w:rsidRPr="00F34821">
              <w:rPr>
                <w:color w:val="auto"/>
                <w:sz w:val="21"/>
                <w:szCs w:val="21"/>
              </w:rPr>
              <w:t>and</w:t>
            </w:r>
            <w:r w:rsidRPr="00F34821">
              <w:rPr>
                <w:color w:val="auto"/>
                <w:spacing w:val="15"/>
                <w:sz w:val="21"/>
                <w:szCs w:val="21"/>
              </w:rPr>
              <w:t xml:space="preserve"> </w:t>
            </w:r>
            <w:r w:rsidRPr="00F34821">
              <w:rPr>
                <w:color w:val="auto"/>
                <w:sz w:val="21"/>
                <w:szCs w:val="21"/>
              </w:rPr>
              <w:t>experience</w:t>
            </w:r>
            <w:r w:rsidRPr="00F34821">
              <w:rPr>
                <w:color w:val="auto"/>
                <w:spacing w:val="20"/>
                <w:sz w:val="21"/>
                <w:szCs w:val="21"/>
              </w:rPr>
              <w:t xml:space="preserve"> </w:t>
            </w:r>
            <w:r w:rsidRPr="00F34821">
              <w:rPr>
                <w:color w:val="auto"/>
                <w:spacing w:val="-2"/>
                <w:sz w:val="21"/>
                <w:szCs w:val="21"/>
              </w:rPr>
              <w:t>in</w:t>
            </w:r>
            <w:r w:rsidRPr="00F34821">
              <w:rPr>
                <w:color w:val="auto"/>
                <w:spacing w:val="20"/>
                <w:sz w:val="21"/>
                <w:szCs w:val="21"/>
              </w:rPr>
              <w:t xml:space="preserve"> </w:t>
            </w:r>
            <w:r w:rsidRPr="00F34821">
              <w:rPr>
                <w:color w:val="auto"/>
                <w:sz w:val="21"/>
                <w:szCs w:val="21"/>
              </w:rPr>
              <w:t>health</w:t>
            </w:r>
            <w:r w:rsidRPr="00F34821">
              <w:rPr>
                <w:color w:val="auto"/>
                <w:spacing w:val="20"/>
                <w:sz w:val="21"/>
                <w:szCs w:val="21"/>
              </w:rPr>
              <w:t xml:space="preserve"> </w:t>
            </w:r>
            <w:bookmarkStart w:id="0" w:name="_GoBack"/>
            <w:bookmarkEnd w:id="0"/>
            <w:r w:rsidRPr="00F34821">
              <w:rPr>
                <w:color w:val="auto"/>
                <w:sz w:val="21"/>
                <w:szCs w:val="21"/>
              </w:rPr>
              <w:t>care</w:t>
            </w:r>
            <w:r w:rsidRPr="00F34821">
              <w:rPr>
                <w:color w:val="auto"/>
                <w:spacing w:val="20"/>
                <w:sz w:val="21"/>
                <w:szCs w:val="21"/>
              </w:rPr>
              <w:t xml:space="preserve"> </w:t>
            </w:r>
            <w:r w:rsidRPr="00F34821">
              <w:rPr>
                <w:color w:val="auto"/>
                <w:sz w:val="21"/>
                <w:szCs w:val="21"/>
              </w:rPr>
              <w:t>or</w:t>
            </w:r>
            <w:r w:rsidRPr="00F34821">
              <w:rPr>
                <w:color w:val="auto"/>
                <w:spacing w:val="15"/>
                <w:sz w:val="21"/>
                <w:szCs w:val="21"/>
              </w:rPr>
              <w:t xml:space="preserve"> </w:t>
            </w:r>
            <w:r w:rsidRPr="00F34821">
              <w:rPr>
                <w:color w:val="auto"/>
                <w:sz w:val="21"/>
                <w:szCs w:val="21"/>
              </w:rPr>
              <w:t>risk</w:t>
            </w:r>
            <w:r w:rsidRPr="00F34821">
              <w:rPr>
                <w:color w:val="auto"/>
                <w:spacing w:val="20"/>
                <w:sz w:val="21"/>
                <w:szCs w:val="21"/>
              </w:rPr>
              <w:t xml:space="preserve"> </w:t>
            </w:r>
            <w:r w:rsidRPr="00F34821">
              <w:rPr>
                <w:color w:val="auto"/>
                <w:sz w:val="21"/>
                <w:szCs w:val="21"/>
              </w:rPr>
              <w:t>management</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lastRenderedPageBreak/>
              <w:t>Clinical Director for Children’s Services</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 xml:space="preserve">Florida license as a clinical professional </w:t>
            </w:r>
          </w:p>
          <w:p w:rsidR="00376108" w:rsidRPr="00F34821" w:rsidRDefault="00376108" w:rsidP="00BA0839">
            <w:pPr>
              <w:pStyle w:val="TableBullet1"/>
              <w:rPr>
                <w:color w:val="auto"/>
                <w:sz w:val="21"/>
                <w:szCs w:val="21"/>
              </w:rPr>
            </w:pPr>
            <w:r w:rsidRPr="00F34821">
              <w:rPr>
                <w:color w:val="auto"/>
                <w:sz w:val="21"/>
                <w:szCs w:val="21"/>
              </w:rPr>
              <w:t xml:space="preserve">Minimum of seven years of experience in a managed care setting or clinical setting, including at least two years of managed care experience (preferably Medicaid or CHIP managed care) and at least five years with children. </w:t>
            </w:r>
          </w:p>
          <w:p w:rsidR="00376108" w:rsidRPr="00F34821" w:rsidRDefault="00376108" w:rsidP="00BA0839">
            <w:pPr>
              <w:pStyle w:val="TableBullet1"/>
              <w:rPr>
                <w:color w:val="auto"/>
                <w:sz w:val="21"/>
                <w:szCs w:val="21"/>
              </w:rPr>
            </w:pPr>
            <w:r w:rsidRPr="00F34821">
              <w:rPr>
                <w:color w:val="auto"/>
                <w:sz w:val="21"/>
                <w:szCs w:val="21"/>
              </w:rPr>
              <w:t>Knowledge of Florida child serving systems required.</w:t>
            </w:r>
          </w:p>
          <w:p w:rsidR="00376108" w:rsidRPr="00F34821" w:rsidRDefault="00376108" w:rsidP="00BA0839">
            <w:pPr>
              <w:pStyle w:val="TableBullet1"/>
              <w:rPr>
                <w:color w:val="auto"/>
                <w:sz w:val="21"/>
                <w:szCs w:val="21"/>
              </w:rPr>
            </w:pPr>
            <w:r w:rsidRPr="00F34821">
              <w:rPr>
                <w:color w:val="auto"/>
                <w:sz w:val="21"/>
                <w:szCs w:val="21"/>
              </w:rPr>
              <w:t xml:space="preserve">If the </w:t>
            </w:r>
            <w:r>
              <w:rPr>
                <w:color w:val="auto"/>
                <w:sz w:val="21"/>
                <w:szCs w:val="21"/>
              </w:rPr>
              <w:t>Respondent</w:t>
            </w:r>
            <w:r w:rsidRPr="00F34821">
              <w:rPr>
                <w:color w:val="auto"/>
                <w:sz w:val="21"/>
                <w:szCs w:val="21"/>
              </w:rPr>
              <w:t xml:space="preserve"> has more than 60,000 enrollees under age 21, the percent of effort must be full-time. If the </w:t>
            </w:r>
            <w:r>
              <w:rPr>
                <w:color w:val="auto"/>
                <w:sz w:val="21"/>
                <w:szCs w:val="21"/>
              </w:rPr>
              <w:t>Respondent</w:t>
            </w:r>
            <w:r w:rsidRPr="00F34821">
              <w:rPr>
                <w:color w:val="auto"/>
                <w:sz w:val="21"/>
                <w:szCs w:val="21"/>
              </w:rPr>
              <w:t xml:space="preserve"> has less than 60,000 enrollees under age 21, the percent of effort may be less than full-time and be negotiated with the CMS Plan.</w:t>
            </w:r>
            <w:r>
              <w:rPr>
                <w:color w:val="auto"/>
                <w:sz w:val="21"/>
                <w:szCs w:val="21"/>
              </w:rPr>
              <w:t xml:space="preserve"> </w:t>
            </w:r>
          </w:p>
        </w:tc>
      </w:tr>
      <w:tr w:rsidR="00376108" w:rsidRPr="00C91956" w:rsidTr="00BA0839">
        <w:trPr>
          <w:cantSplit/>
        </w:trPr>
        <w:tc>
          <w:tcPr>
            <w:tcW w:w="5000" w:type="pct"/>
            <w:gridSpan w:val="3"/>
            <w:shd w:val="clear" w:color="auto" w:fill="D9D9D9" w:themeFill="background1" w:themeFillShade="D9"/>
            <w:hideMark/>
          </w:tcPr>
          <w:p w:rsidR="00376108" w:rsidRPr="00F34821" w:rsidRDefault="00376108" w:rsidP="00BA0839">
            <w:pPr>
              <w:pStyle w:val="TableParagraph"/>
              <w:spacing w:before="39"/>
              <w:rPr>
                <w:rFonts w:cs="Arial"/>
                <w:sz w:val="21"/>
                <w:szCs w:val="21"/>
              </w:rPr>
            </w:pPr>
            <w:r w:rsidRPr="00F34821">
              <w:rPr>
                <w:rFonts w:cs="Arial"/>
                <w:b/>
                <w:color w:val="000000" w:themeColor="text1"/>
              </w:rPr>
              <w:t>Managerial Staff</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Member Services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Full time staff member. Experience in MC or clinical setting.</w:t>
            </w:r>
          </w:p>
          <w:p w:rsidR="00376108" w:rsidRPr="00F34821" w:rsidRDefault="00376108" w:rsidP="00BA0839">
            <w:pPr>
              <w:pStyle w:val="TableBullet1"/>
              <w:rPr>
                <w:color w:val="auto"/>
                <w:sz w:val="21"/>
                <w:szCs w:val="21"/>
              </w:rPr>
            </w:pPr>
            <w:r w:rsidRPr="00F34821">
              <w:rPr>
                <w:color w:val="auto"/>
                <w:sz w:val="21"/>
                <w:szCs w:val="21"/>
              </w:rPr>
              <w:t>Experience managing member service call center operations.</w:t>
            </w:r>
          </w:p>
          <w:p w:rsidR="00376108" w:rsidRPr="00F34821" w:rsidRDefault="00376108" w:rsidP="00BA0839">
            <w:pPr>
              <w:pStyle w:val="TableBullet1"/>
              <w:rPr>
                <w:color w:val="auto"/>
                <w:sz w:val="21"/>
                <w:szCs w:val="21"/>
              </w:rPr>
            </w:pPr>
            <w:r w:rsidRPr="00F34821">
              <w:rPr>
                <w:color w:val="auto"/>
                <w:sz w:val="21"/>
                <w:szCs w:val="21"/>
              </w:rPr>
              <w:t>Knowledge of the provider system serving children with medical complexity.</w:t>
            </w:r>
          </w:p>
          <w:p w:rsidR="00376108" w:rsidRPr="00F34821" w:rsidRDefault="00376108" w:rsidP="00BA0839">
            <w:pPr>
              <w:pStyle w:val="TableBullet1"/>
              <w:rPr>
                <w:color w:val="auto"/>
                <w:sz w:val="21"/>
                <w:szCs w:val="21"/>
              </w:rPr>
            </w:pPr>
            <w:r w:rsidRPr="00F34821">
              <w:rPr>
                <w:color w:val="auto"/>
                <w:sz w:val="21"/>
                <w:szCs w:val="21"/>
              </w:rPr>
              <w:t>Knowledge of the benefits and program requirements for children, including the medically complex children’s populations.</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Provider Services and Provider Relations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Full time staff member</w:t>
            </w:r>
          </w:p>
          <w:p w:rsidR="00376108" w:rsidRPr="00F34821" w:rsidRDefault="00376108" w:rsidP="00BA0839">
            <w:pPr>
              <w:pStyle w:val="TableBullet1"/>
              <w:rPr>
                <w:color w:val="auto"/>
                <w:sz w:val="21"/>
                <w:szCs w:val="21"/>
              </w:rPr>
            </w:pPr>
            <w:r w:rsidRPr="00F34821">
              <w:rPr>
                <w:color w:val="auto"/>
                <w:sz w:val="21"/>
                <w:szCs w:val="21"/>
              </w:rPr>
              <w:t>Experience in MC or clinical setting.</w:t>
            </w:r>
          </w:p>
          <w:p w:rsidR="00376108" w:rsidRPr="00F34821" w:rsidRDefault="00376108" w:rsidP="00BA0839">
            <w:pPr>
              <w:pStyle w:val="TableBullet1"/>
              <w:rPr>
                <w:color w:val="auto"/>
                <w:sz w:val="21"/>
                <w:szCs w:val="21"/>
              </w:rPr>
            </w:pPr>
            <w:r w:rsidRPr="00F34821">
              <w:rPr>
                <w:color w:val="auto"/>
                <w:sz w:val="21"/>
                <w:szCs w:val="21"/>
              </w:rPr>
              <w:t>Experience managing provider issues including resolving grievances, coordinating site visits, and maintaining quality of care.</w:t>
            </w:r>
          </w:p>
          <w:p w:rsidR="00376108" w:rsidRPr="00F34821" w:rsidRDefault="00376108" w:rsidP="00BA0839">
            <w:pPr>
              <w:pStyle w:val="TableBullet1"/>
              <w:rPr>
                <w:color w:val="auto"/>
                <w:sz w:val="21"/>
                <w:szCs w:val="21"/>
              </w:rPr>
            </w:pPr>
            <w:r w:rsidRPr="00F34821">
              <w:rPr>
                <w:color w:val="auto"/>
                <w:sz w:val="21"/>
                <w:szCs w:val="21"/>
              </w:rPr>
              <w:t>Knowledge of the provider system serving children with BH needs medically complex children and specialized services for children.</w:t>
            </w:r>
          </w:p>
          <w:p w:rsidR="00376108" w:rsidRPr="00F34821" w:rsidRDefault="00376108" w:rsidP="00BA0839">
            <w:pPr>
              <w:pStyle w:val="TableBullet1"/>
              <w:rPr>
                <w:color w:val="auto"/>
                <w:sz w:val="21"/>
                <w:szCs w:val="21"/>
              </w:rPr>
            </w:pPr>
            <w:r w:rsidRPr="00F34821">
              <w:rPr>
                <w:color w:val="auto"/>
                <w:sz w:val="21"/>
                <w:szCs w:val="21"/>
              </w:rPr>
              <w:t>Demonstrated experience in network development for medically complex children.</w:t>
            </w:r>
          </w:p>
          <w:p w:rsidR="00376108" w:rsidRPr="00F34821" w:rsidRDefault="00376108" w:rsidP="00BA0839">
            <w:pPr>
              <w:pStyle w:val="TableBullet1"/>
              <w:rPr>
                <w:color w:val="auto"/>
                <w:sz w:val="21"/>
                <w:szCs w:val="21"/>
              </w:rPr>
            </w:pPr>
            <w:r w:rsidRPr="00F34821">
              <w:rPr>
                <w:color w:val="auto"/>
                <w:sz w:val="21"/>
                <w:szCs w:val="21"/>
              </w:rPr>
              <w:t>Knowledge of and experience with principles of physical-BH integration.</w:t>
            </w:r>
          </w:p>
          <w:p w:rsidR="00376108" w:rsidRPr="00F34821" w:rsidRDefault="00376108" w:rsidP="00BA0839">
            <w:pPr>
              <w:pStyle w:val="TableBullet1"/>
              <w:rPr>
                <w:color w:val="auto"/>
                <w:sz w:val="21"/>
                <w:szCs w:val="21"/>
              </w:rPr>
            </w:pPr>
            <w:r w:rsidRPr="00F34821">
              <w:rPr>
                <w:color w:val="auto"/>
                <w:sz w:val="21"/>
                <w:szCs w:val="21"/>
              </w:rPr>
              <w:t>Knowledge of family-centered, youth guided principles and development of services for children.</w:t>
            </w:r>
          </w:p>
          <w:p w:rsidR="00376108" w:rsidRPr="00F34821" w:rsidRDefault="00376108" w:rsidP="00BA0839">
            <w:pPr>
              <w:pStyle w:val="TableBullet1"/>
              <w:rPr>
                <w:color w:val="auto"/>
                <w:sz w:val="21"/>
                <w:szCs w:val="21"/>
              </w:rPr>
            </w:pPr>
            <w:r w:rsidRPr="00F34821">
              <w:rPr>
                <w:color w:val="auto"/>
                <w:sz w:val="21"/>
                <w:szCs w:val="21"/>
              </w:rPr>
              <w:t>Knowledge of specific PH service needs of the children population.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Program Integrity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Responsible for Fraud and Abuse Detection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lastRenderedPageBreak/>
              <w:t>UM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Master’s Degree in health administration, public health, nursing or related health field.</w:t>
            </w:r>
            <w:r>
              <w:rPr>
                <w:color w:val="auto"/>
                <w:sz w:val="21"/>
                <w:szCs w:val="21"/>
              </w:rPr>
              <w:t xml:space="preserve"> </w:t>
            </w:r>
            <w:r w:rsidRPr="00F34821">
              <w:rPr>
                <w:color w:val="auto"/>
                <w:sz w:val="21"/>
                <w:szCs w:val="21"/>
              </w:rPr>
              <w:t xml:space="preserve">Licensed Practitioner (e.g., Nurse, Physician, or Physician’s assistant) required if making medical necessity determinations. With MC or clinical experience </w:t>
            </w:r>
          </w:p>
          <w:p w:rsidR="00376108" w:rsidRPr="00F34821" w:rsidRDefault="00376108" w:rsidP="00BA0839">
            <w:pPr>
              <w:pStyle w:val="TableBullet1"/>
              <w:rPr>
                <w:color w:val="auto"/>
                <w:sz w:val="21"/>
                <w:szCs w:val="21"/>
              </w:rPr>
            </w:pPr>
            <w:r w:rsidRPr="00F34821">
              <w:rPr>
                <w:color w:val="auto"/>
                <w:sz w:val="21"/>
                <w:szCs w:val="21"/>
              </w:rPr>
              <w:t>Experience working with community and family-based services recommended.</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QM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 xml:space="preserve">Master’s Degree in health administration, public health, nursing or related health field. </w:t>
            </w:r>
          </w:p>
          <w:p w:rsidR="00376108" w:rsidRPr="00F34821" w:rsidRDefault="00376108" w:rsidP="00BA0839">
            <w:pPr>
              <w:pStyle w:val="TableBullet1"/>
              <w:rPr>
                <w:i/>
                <w:color w:val="auto"/>
                <w:sz w:val="21"/>
                <w:szCs w:val="21"/>
              </w:rPr>
            </w:pPr>
            <w:r w:rsidRPr="00F34821">
              <w:rPr>
                <w:i/>
                <w:color w:val="auto"/>
                <w:sz w:val="21"/>
                <w:szCs w:val="21"/>
              </w:rPr>
              <w:t xml:space="preserve">Certified Professional in Health Care Quality (CPHQ) by the National Association for Health Care Quality (NAHQ) or Certified in Health Care Quality and Management (CHCQM) by the American Board of Quality Assurance and Utilization Review Providers is preferred. </w:t>
            </w:r>
          </w:p>
          <w:p w:rsidR="00376108" w:rsidRPr="00F34821" w:rsidRDefault="00376108" w:rsidP="00BA0839">
            <w:pPr>
              <w:pStyle w:val="TableBullet1"/>
              <w:rPr>
                <w:color w:val="auto"/>
                <w:sz w:val="21"/>
                <w:szCs w:val="21"/>
              </w:rPr>
            </w:pPr>
            <w:r w:rsidRPr="00F34821">
              <w:rPr>
                <w:color w:val="auto"/>
                <w:sz w:val="21"/>
                <w:szCs w:val="21"/>
              </w:rPr>
              <w:t>Experience and expertise in quality improvement for children who are medically complex, children with mental health and SUD service needs, ideally in publicly-operated or publicly-funded programs.</w:t>
            </w:r>
          </w:p>
          <w:p w:rsidR="00376108" w:rsidRPr="00F34821" w:rsidRDefault="00376108" w:rsidP="00BA0839">
            <w:pPr>
              <w:pStyle w:val="TableBullet1"/>
              <w:rPr>
                <w:color w:val="auto"/>
                <w:sz w:val="21"/>
                <w:szCs w:val="21"/>
              </w:rPr>
            </w:pPr>
            <w:r w:rsidRPr="00F34821">
              <w:rPr>
                <w:color w:val="auto"/>
                <w:sz w:val="21"/>
                <w:szCs w:val="21"/>
              </w:rPr>
              <w:t>Experience with managed care delivery systems.</w:t>
            </w:r>
          </w:p>
          <w:p w:rsidR="00376108" w:rsidRPr="00F34821" w:rsidRDefault="00376108" w:rsidP="00BA0839">
            <w:pPr>
              <w:pStyle w:val="TableBullet1"/>
              <w:rPr>
                <w:color w:val="auto"/>
                <w:sz w:val="21"/>
                <w:szCs w:val="21"/>
              </w:rPr>
            </w:pPr>
            <w:r w:rsidRPr="00F34821">
              <w:rPr>
                <w:color w:val="auto"/>
                <w:sz w:val="21"/>
                <w:szCs w:val="21"/>
              </w:rPr>
              <w:t>Familiarity with recovery-oriented services.</w:t>
            </w:r>
          </w:p>
          <w:p w:rsidR="00376108" w:rsidRPr="00F34821" w:rsidRDefault="00376108" w:rsidP="00BA0839">
            <w:pPr>
              <w:pStyle w:val="TableBullet1"/>
              <w:rPr>
                <w:color w:val="auto"/>
                <w:sz w:val="21"/>
                <w:szCs w:val="21"/>
              </w:rPr>
            </w:pPr>
            <w:r w:rsidRPr="00F34821">
              <w:rPr>
                <w:color w:val="auto"/>
                <w:sz w:val="21"/>
                <w:szCs w:val="21"/>
              </w:rPr>
              <w:t>Familiarity with family-centered, youth</w:t>
            </w:r>
            <w:r w:rsidRPr="00F34821">
              <w:rPr>
                <w:color w:val="auto"/>
                <w:sz w:val="21"/>
                <w:szCs w:val="21"/>
              </w:rPr>
              <w:noBreakHyphen/>
              <w:t>guided service delivery for children and families.</w:t>
            </w:r>
          </w:p>
          <w:p w:rsidR="00376108" w:rsidRPr="00F34821" w:rsidRDefault="00376108" w:rsidP="00BA0839">
            <w:pPr>
              <w:pStyle w:val="TableBullet1"/>
              <w:rPr>
                <w:color w:val="auto"/>
                <w:sz w:val="21"/>
                <w:szCs w:val="21"/>
              </w:rPr>
            </w:pPr>
            <w:r w:rsidRPr="00F34821">
              <w:rPr>
                <w:color w:val="auto"/>
                <w:sz w:val="21"/>
                <w:szCs w:val="21"/>
              </w:rPr>
              <w:t>Knowledge of appropriate performance measures (including HEDIS and QARR) for children.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Dispute and Appeal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Responsible for member and provider disputes</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CM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 xml:space="preserve">Five years of management/supervisory experience in the health care field. </w:t>
            </w:r>
          </w:p>
          <w:p w:rsidR="00376108" w:rsidRPr="00F34821" w:rsidRDefault="00376108" w:rsidP="00BA0839">
            <w:pPr>
              <w:pStyle w:val="TableBullet1"/>
              <w:rPr>
                <w:color w:val="auto"/>
                <w:sz w:val="21"/>
                <w:szCs w:val="21"/>
              </w:rPr>
            </w:pPr>
            <w:r w:rsidRPr="00F34821">
              <w:rPr>
                <w:color w:val="auto"/>
                <w:sz w:val="21"/>
                <w:szCs w:val="21"/>
              </w:rPr>
              <w:t>RN or LCSW with at least three years’ experience providing care coordination and two years in managed care or children’s services.</w:t>
            </w:r>
          </w:p>
          <w:p w:rsidR="00376108" w:rsidRPr="00F34821" w:rsidRDefault="00376108" w:rsidP="00BA0839">
            <w:pPr>
              <w:pStyle w:val="TableBullet1"/>
              <w:rPr>
                <w:color w:val="auto"/>
                <w:sz w:val="21"/>
                <w:szCs w:val="21"/>
              </w:rPr>
            </w:pPr>
            <w:r w:rsidRPr="00F34821">
              <w:rPr>
                <w:color w:val="auto"/>
                <w:sz w:val="21"/>
                <w:szCs w:val="21"/>
              </w:rPr>
              <w:t>Experience working in care management, children’s specialty clinics, or with Patient Centered Medical Homes recommended.</w:t>
            </w:r>
          </w:p>
          <w:p w:rsidR="00376108" w:rsidRPr="00F34821" w:rsidRDefault="00376108" w:rsidP="00BA0839">
            <w:pPr>
              <w:pStyle w:val="TableBullet1"/>
              <w:rPr>
                <w:color w:val="auto"/>
                <w:sz w:val="21"/>
                <w:szCs w:val="21"/>
              </w:rPr>
            </w:pPr>
            <w:r w:rsidRPr="00F34821">
              <w:rPr>
                <w:color w:val="auto"/>
                <w:sz w:val="21"/>
                <w:szCs w:val="21"/>
              </w:rPr>
              <w:t>Experience working with community and family-based services and experience in working across child serving systems recommended.</w:t>
            </w:r>
          </w:p>
          <w:p w:rsidR="00376108" w:rsidRPr="00F34821" w:rsidRDefault="00376108" w:rsidP="00BA0839">
            <w:pPr>
              <w:pStyle w:val="TableBullet1"/>
              <w:rPr>
                <w:color w:val="auto"/>
                <w:sz w:val="21"/>
                <w:szCs w:val="21"/>
              </w:rPr>
            </w:pPr>
            <w:r w:rsidRPr="00F34821">
              <w:rPr>
                <w:color w:val="auto"/>
                <w:sz w:val="21"/>
                <w:szCs w:val="21"/>
              </w:rPr>
              <w:t>Knowledge of Florida child serving systems required.</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Pr>
                <w:color w:val="auto"/>
                <w:sz w:val="21"/>
                <w:szCs w:val="21"/>
              </w:rPr>
              <w:lastRenderedPageBreak/>
              <w:t>Care Coordination/</w:t>
            </w:r>
            <w:r w:rsidRPr="00F34821">
              <w:rPr>
                <w:color w:val="auto"/>
                <w:sz w:val="21"/>
                <w:szCs w:val="21"/>
              </w:rPr>
              <w:t>Case Management Supervisor(s)</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Oversee case management staff, which </w:t>
            </w:r>
            <w:r>
              <w:rPr>
                <w:color w:val="auto"/>
                <w:sz w:val="21"/>
                <w:szCs w:val="21"/>
              </w:rPr>
              <w:t>will</w:t>
            </w:r>
            <w:r w:rsidRPr="00F34821">
              <w:rPr>
                <w:color w:val="auto"/>
                <w:sz w:val="21"/>
                <w:szCs w:val="21"/>
              </w:rPr>
              <w:t xml:space="preserve"> have the qualifications of a </w:t>
            </w:r>
            <w:r>
              <w:rPr>
                <w:color w:val="auto"/>
                <w:sz w:val="21"/>
                <w:szCs w:val="21"/>
              </w:rPr>
              <w:t>Care Coordinator/C</w:t>
            </w:r>
            <w:r w:rsidRPr="00F34821">
              <w:rPr>
                <w:color w:val="auto"/>
                <w:sz w:val="21"/>
                <w:szCs w:val="21"/>
              </w:rPr>
              <w:t xml:space="preserve">ase </w:t>
            </w:r>
            <w:r>
              <w:rPr>
                <w:color w:val="auto"/>
                <w:sz w:val="21"/>
                <w:szCs w:val="21"/>
              </w:rPr>
              <w:t>M</w:t>
            </w:r>
            <w:r w:rsidRPr="00F34821">
              <w:rPr>
                <w:color w:val="auto"/>
                <w:sz w:val="21"/>
                <w:szCs w:val="21"/>
              </w:rPr>
              <w:t xml:space="preserve">anager and a minimum of three years of management/supervisory experience in the health care field. </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Training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 xml:space="preserve">Significant experience and expertise in developing, tracking, and executing training to the </w:t>
            </w:r>
            <w:r>
              <w:rPr>
                <w:color w:val="auto"/>
                <w:sz w:val="21"/>
                <w:szCs w:val="21"/>
              </w:rPr>
              <w:t>Respondent</w:t>
            </w:r>
            <w:r w:rsidRPr="00F34821">
              <w:rPr>
                <w:color w:val="auto"/>
                <w:sz w:val="21"/>
                <w:szCs w:val="21"/>
              </w:rPr>
              <w:t>’s own and network provider’s staff.</w:t>
            </w:r>
          </w:p>
          <w:p w:rsidR="00376108" w:rsidRPr="00F34821" w:rsidRDefault="00376108" w:rsidP="00BA0839">
            <w:pPr>
              <w:pStyle w:val="TableBullet1"/>
              <w:rPr>
                <w:color w:val="auto"/>
                <w:sz w:val="21"/>
                <w:szCs w:val="21"/>
              </w:rPr>
            </w:pPr>
            <w:r w:rsidRPr="00F34821">
              <w:rPr>
                <w:color w:val="auto"/>
                <w:sz w:val="21"/>
                <w:szCs w:val="21"/>
              </w:rPr>
              <w:t>Significant experience and expertise in developing training programs related to systems for children and families.</w:t>
            </w:r>
          </w:p>
          <w:p w:rsidR="00376108" w:rsidRPr="00F34821" w:rsidRDefault="00376108" w:rsidP="00BA0839">
            <w:pPr>
              <w:pStyle w:val="TableBullet1"/>
              <w:rPr>
                <w:color w:val="auto"/>
                <w:sz w:val="21"/>
                <w:szCs w:val="21"/>
              </w:rPr>
            </w:pPr>
            <w:r w:rsidRPr="00F34821">
              <w:rPr>
                <w:color w:val="auto"/>
                <w:sz w:val="21"/>
                <w:szCs w:val="21"/>
              </w:rPr>
              <w:t>Knowledge of needs associated with medically complex children and specialized services.</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Pharmacy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Florida licensed pharmacist or physician who oversees and administers the prescription drug and pharmacy benefits. The Pharmacy Manager may be an employee or contractor of the </w:t>
            </w:r>
            <w:r>
              <w:rPr>
                <w:color w:val="auto"/>
                <w:sz w:val="21"/>
                <w:szCs w:val="21"/>
              </w:rPr>
              <w:t>Respondent</w:t>
            </w:r>
            <w:r w:rsidRPr="00F34821">
              <w:rPr>
                <w:color w:val="auto"/>
                <w:sz w:val="21"/>
                <w:szCs w:val="21"/>
              </w:rPr>
              <w:t>.</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Claims and Encounter Data Manager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Experience managing provider issues including resolving payment and claims issues</w:t>
            </w:r>
          </w:p>
          <w:p w:rsidR="00376108" w:rsidRPr="00F34821" w:rsidRDefault="00376108" w:rsidP="00BA0839">
            <w:pPr>
              <w:pStyle w:val="TableBullet1"/>
              <w:rPr>
                <w:color w:val="auto"/>
                <w:sz w:val="21"/>
                <w:szCs w:val="21"/>
              </w:rPr>
            </w:pPr>
            <w:r w:rsidRPr="00F34821">
              <w:rPr>
                <w:color w:val="auto"/>
                <w:sz w:val="21"/>
                <w:szCs w:val="21"/>
              </w:rPr>
              <w:t xml:space="preserve">Understanding of provider claims processing (i.e., professional and institutional) including appropriate claims submission requirements, coding updates, electronic claims transactions and electronic fund transfer, and available </w:t>
            </w:r>
            <w:r>
              <w:rPr>
                <w:color w:val="auto"/>
                <w:sz w:val="21"/>
                <w:szCs w:val="21"/>
              </w:rPr>
              <w:t>Respondent</w:t>
            </w:r>
            <w:r w:rsidRPr="00F34821">
              <w:rPr>
                <w:color w:val="auto"/>
                <w:sz w:val="21"/>
                <w:szCs w:val="21"/>
              </w:rPr>
              <w:t xml:space="preserve"> resources such as provider manuals, website, fee schedules, etc.</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Behavioral Health Medical Director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Full time board certified psychiatrist in the State of Florida with 5 years of experience in MH and SUD</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Liaison for Medically Complex Children</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Experience, expertise and knowledge of the unique complex needs (including trauma) of this population.</w:t>
            </w:r>
          </w:p>
          <w:p w:rsidR="00376108" w:rsidRPr="00F34821" w:rsidRDefault="00376108" w:rsidP="00BA0839">
            <w:pPr>
              <w:pStyle w:val="TableBullet1"/>
              <w:rPr>
                <w:color w:val="auto"/>
                <w:sz w:val="21"/>
                <w:szCs w:val="21"/>
              </w:rPr>
            </w:pPr>
            <w:r w:rsidRPr="00F34821">
              <w:rPr>
                <w:color w:val="auto"/>
                <w:sz w:val="21"/>
                <w:szCs w:val="21"/>
              </w:rPr>
              <w:t xml:space="preserve">Knowledge of State child serving systems, </w:t>
            </w:r>
            <w:r>
              <w:rPr>
                <w:color w:val="auto"/>
                <w:sz w:val="21"/>
                <w:szCs w:val="21"/>
              </w:rPr>
              <w:t>C</w:t>
            </w:r>
            <w:r w:rsidRPr="00F34821">
              <w:rPr>
                <w:color w:val="auto"/>
                <w:sz w:val="21"/>
                <w:szCs w:val="21"/>
              </w:rPr>
              <w:t>are</w:t>
            </w:r>
            <w:r>
              <w:rPr>
                <w:color w:val="auto"/>
                <w:sz w:val="21"/>
                <w:szCs w:val="21"/>
              </w:rPr>
              <w:t xml:space="preserve"> Coordinators/Case M</w:t>
            </w:r>
            <w:r w:rsidRPr="00F34821">
              <w:rPr>
                <w:color w:val="auto"/>
                <w:sz w:val="21"/>
                <w:szCs w:val="21"/>
              </w:rPr>
              <w:t>anagers, patient centered health homes, children’s specialty hospitals and clinics, and specialty providers responsible for addressing the healthcare needs of medically complex children.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Maternal Health/EPSDT Coordinator</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Florida licensed nurse, physician, or Physician’s assistant, or have a Master’s degree in health services, public health, or health care administration or </w:t>
            </w:r>
            <w:proofErr w:type="gramStart"/>
            <w:r w:rsidRPr="00F34821">
              <w:rPr>
                <w:color w:val="auto"/>
                <w:sz w:val="21"/>
                <w:szCs w:val="21"/>
              </w:rPr>
              <w:t>other</w:t>
            </w:r>
            <w:proofErr w:type="gramEnd"/>
            <w:r w:rsidRPr="00F34821">
              <w:rPr>
                <w:color w:val="auto"/>
                <w:sz w:val="21"/>
                <w:szCs w:val="21"/>
              </w:rPr>
              <w:t xml:space="preserve"> related field or a CPHQ or CHCQM</w:t>
            </w:r>
          </w:p>
        </w:tc>
      </w:tr>
      <w:tr w:rsidR="00376108" w:rsidRPr="00C91956" w:rsidTr="00BA0839">
        <w:trPr>
          <w:cantSplit/>
        </w:trPr>
        <w:tc>
          <w:tcPr>
            <w:tcW w:w="5000" w:type="pct"/>
            <w:gridSpan w:val="3"/>
            <w:shd w:val="clear" w:color="auto" w:fill="D9D9D9" w:themeFill="background1" w:themeFillShade="D9"/>
            <w:hideMark/>
          </w:tcPr>
          <w:p w:rsidR="00376108" w:rsidRPr="00F34821" w:rsidRDefault="00376108" w:rsidP="00BA0839">
            <w:pPr>
              <w:pStyle w:val="TableParagraph"/>
              <w:keepNext/>
              <w:spacing w:before="39"/>
              <w:rPr>
                <w:rFonts w:cs="Arial"/>
                <w:sz w:val="21"/>
                <w:szCs w:val="21"/>
              </w:rPr>
            </w:pPr>
            <w:r w:rsidRPr="00F34821">
              <w:rPr>
                <w:rFonts w:cs="Arial"/>
                <w:b/>
                <w:color w:val="000000" w:themeColor="text1"/>
              </w:rPr>
              <w:lastRenderedPageBreak/>
              <w:t>Operational Staff</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UM</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Licensed Practitioner (e.g., Nurse or LCSW or other appropriate license for SUD review)</w:t>
            </w:r>
          </w:p>
          <w:p w:rsidR="00376108" w:rsidRPr="00F34821" w:rsidRDefault="00376108" w:rsidP="00BA0839">
            <w:pPr>
              <w:pStyle w:val="TableBullet1"/>
              <w:rPr>
                <w:color w:val="auto"/>
                <w:sz w:val="21"/>
                <w:szCs w:val="21"/>
              </w:rPr>
            </w:pPr>
            <w:r w:rsidRPr="00F34821">
              <w:rPr>
                <w:color w:val="auto"/>
                <w:sz w:val="21"/>
                <w:szCs w:val="21"/>
              </w:rPr>
              <w:t>For UM, authorization decisions must be made by a licensed practitioner with minimum three years of experience treating children with similar conditions.</w:t>
            </w:r>
          </w:p>
          <w:p w:rsidR="00376108" w:rsidRPr="00F34821" w:rsidRDefault="00376108" w:rsidP="00BA0839">
            <w:pPr>
              <w:pStyle w:val="TableBullet1"/>
              <w:rPr>
                <w:color w:val="auto"/>
                <w:sz w:val="21"/>
                <w:szCs w:val="21"/>
              </w:rPr>
            </w:pPr>
            <w:r w:rsidRPr="00F34821">
              <w:rPr>
                <w:color w:val="auto"/>
                <w:sz w:val="21"/>
                <w:szCs w:val="21"/>
              </w:rPr>
              <w:t>Knowledge and experience in Children’s health and BH services, HCBS, specialized services, EPSDT services and social service programs.</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Clinical Peer Reviewers</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Includes panel of reviewers to conduct denial and appeal reviews, peer review of psychological testing, or complex case review and other related consultations.</w:t>
            </w:r>
          </w:p>
          <w:p w:rsidR="00376108" w:rsidRPr="00F34821" w:rsidRDefault="00376108" w:rsidP="00BA0839">
            <w:pPr>
              <w:pStyle w:val="TableBullet1"/>
              <w:rPr>
                <w:color w:val="auto"/>
                <w:sz w:val="21"/>
                <w:szCs w:val="21"/>
              </w:rPr>
            </w:pPr>
            <w:r w:rsidRPr="00F34821">
              <w:rPr>
                <w:color w:val="auto"/>
                <w:sz w:val="21"/>
                <w:szCs w:val="21"/>
              </w:rPr>
              <w:t>Peer reviewers must include:</w:t>
            </w:r>
          </w:p>
          <w:p w:rsidR="00376108" w:rsidRPr="00F34821" w:rsidRDefault="00376108" w:rsidP="00BA0839">
            <w:pPr>
              <w:pStyle w:val="TableBullet1"/>
              <w:rPr>
                <w:color w:val="auto"/>
                <w:sz w:val="21"/>
                <w:szCs w:val="21"/>
              </w:rPr>
            </w:pPr>
            <w:r w:rsidRPr="00F34821">
              <w:rPr>
                <w:color w:val="auto"/>
                <w:sz w:val="21"/>
                <w:szCs w:val="21"/>
              </w:rPr>
              <w:t>Physicians who are board certified in Pediatrics;</w:t>
            </w:r>
          </w:p>
          <w:p w:rsidR="00376108" w:rsidRPr="00F34821" w:rsidRDefault="00376108" w:rsidP="00BA0839">
            <w:pPr>
              <w:pStyle w:val="TableBullet1"/>
              <w:rPr>
                <w:color w:val="auto"/>
                <w:sz w:val="21"/>
                <w:szCs w:val="21"/>
              </w:rPr>
            </w:pPr>
            <w:r w:rsidRPr="00F34821">
              <w:rPr>
                <w:color w:val="auto"/>
                <w:sz w:val="21"/>
                <w:szCs w:val="21"/>
              </w:rPr>
              <w:t xml:space="preserve">Physicians who are board certified in the condition under review; </w:t>
            </w:r>
          </w:p>
          <w:p w:rsidR="00376108" w:rsidRPr="00F34821" w:rsidRDefault="00376108" w:rsidP="00BA0839">
            <w:pPr>
              <w:pStyle w:val="TableBullet1"/>
              <w:rPr>
                <w:color w:val="auto"/>
                <w:sz w:val="21"/>
                <w:szCs w:val="21"/>
              </w:rPr>
            </w:pPr>
            <w:r w:rsidRPr="00F34821">
              <w:rPr>
                <w:color w:val="auto"/>
                <w:sz w:val="21"/>
                <w:szCs w:val="21"/>
              </w:rPr>
              <w:t xml:space="preserve">Physicians who are board certified in child psychiatry; or </w:t>
            </w:r>
          </w:p>
          <w:p w:rsidR="00376108" w:rsidRPr="00F34821" w:rsidRDefault="00376108" w:rsidP="00BA0839">
            <w:pPr>
              <w:pStyle w:val="TableBullet1"/>
              <w:rPr>
                <w:color w:val="auto"/>
                <w:sz w:val="21"/>
                <w:szCs w:val="21"/>
              </w:rPr>
            </w:pPr>
            <w:r w:rsidRPr="00F34821">
              <w:rPr>
                <w:color w:val="auto"/>
                <w:sz w:val="21"/>
                <w:szCs w:val="21"/>
              </w:rPr>
              <w:t>Licensed doctoral level psychologists with experience treating children.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QM Specialists</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No</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Experience and expertise in quality improvement for physical health, developmental disabilities, mental health and SUD services programs, ideally in publicly-operated or publicly</w:t>
            </w:r>
            <w:r w:rsidRPr="00F34821">
              <w:rPr>
                <w:color w:val="auto"/>
                <w:sz w:val="21"/>
                <w:szCs w:val="21"/>
              </w:rPr>
              <w:noBreakHyphen/>
              <w:t>funded programs.</w:t>
            </w:r>
          </w:p>
          <w:p w:rsidR="00376108" w:rsidRPr="00F34821" w:rsidRDefault="00376108" w:rsidP="00BA0839">
            <w:pPr>
              <w:pStyle w:val="TableBullet1"/>
              <w:rPr>
                <w:color w:val="auto"/>
                <w:sz w:val="21"/>
                <w:szCs w:val="21"/>
              </w:rPr>
            </w:pPr>
            <w:r w:rsidRPr="00F34821">
              <w:rPr>
                <w:color w:val="auto"/>
                <w:sz w:val="21"/>
                <w:szCs w:val="21"/>
              </w:rPr>
              <w:t>Knowledge of family</w:t>
            </w:r>
            <w:r w:rsidRPr="00F34821">
              <w:rPr>
                <w:color w:val="auto"/>
                <w:sz w:val="21"/>
                <w:szCs w:val="21"/>
              </w:rPr>
              <w:noBreakHyphen/>
              <w:t>centered, youth</w:t>
            </w:r>
            <w:r w:rsidRPr="00F34821">
              <w:rPr>
                <w:color w:val="auto"/>
                <w:sz w:val="21"/>
                <w:szCs w:val="21"/>
              </w:rPr>
              <w:noBreakHyphen/>
              <w:t>guided service delivery for children and families with complex needs.</w:t>
            </w:r>
          </w:p>
          <w:p w:rsidR="00376108" w:rsidRPr="00F34821" w:rsidRDefault="00376108" w:rsidP="00BA0839">
            <w:pPr>
              <w:pStyle w:val="TableBullet1"/>
              <w:rPr>
                <w:color w:val="auto"/>
                <w:sz w:val="21"/>
                <w:szCs w:val="21"/>
              </w:rPr>
            </w:pPr>
            <w:r w:rsidRPr="00F34821">
              <w:rPr>
                <w:color w:val="auto"/>
                <w:sz w:val="21"/>
                <w:szCs w:val="21"/>
              </w:rPr>
              <w:t>Knowledge of appropriate performance measures (including HEDIS and QARR) for children.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Provider relations staff</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 xml:space="preserve">Yes </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Experience in MC or clinical setting.</w:t>
            </w:r>
          </w:p>
          <w:p w:rsidR="00376108" w:rsidRPr="00F34821" w:rsidRDefault="00376108" w:rsidP="00BA0839">
            <w:pPr>
              <w:pStyle w:val="TableBullet1"/>
              <w:rPr>
                <w:color w:val="auto"/>
                <w:sz w:val="21"/>
                <w:szCs w:val="21"/>
              </w:rPr>
            </w:pPr>
            <w:r w:rsidRPr="00F34821">
              <w:rPr>
                <w:color w:val="auto"/>
                <w:sz w:val="21"/>
                <w:szCs w:val="21"/>
              </w:rPr>
              <w:t>Experience managing children’s specialty provider issues including resolving grievances, coordinating site visits, and maintaining quality of care.</w:t>
            </w:r>
          </w:p>
          <w:p w:rsidR="00376108" w:rsidRPr="00F34821" w:rsidRDefault="00376108" w:rsidP="00BA0839">
            <w:pPr>
              <w:pStyle w:val="TableBullet1"/>
              <w:rPr>
                <w:color w:val="auto"/>
                <w:sz w:val="21"/>
                <w:szCs w:val="21"/>
              </w:rPr>
            </w:pPr>
            <w:r w:rsidRPr="00F34821">
              <w:rPr>
                <w:color w:val="auto"/>
                <w:sz w:val="21"/>
                <w:szCs w:val="21"/>
              </w:rPr>
              <w:t>Knowledge of the provider system serving children with BH/DD needs, medically complex children.</w:t>
            </w:r>
          </w:p>
        </w:tc>
      </w:tr>
      <w:tr w:rsidR="00376108" w:rsidRPr="00C91956" w:rsidTr="00BA0839">
        <w:trPr>
          <w:cantSplit/>
        </w:trPr>
        <w:tc>
          <w:tcPr>
            <w:tcW w:w="123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lastRenderedPageBreak/>
              <w:t>Care</w:t>
            </w:r>
            <w:r>
              <w:rPr>
                <w:color w:val="auto"/>
                <w:sz w:val="21"/>
                <w:szCs w:val="21"/>
              </w:rPr>
              <w:t xml:space="preserve"> Coordinators/Case</w:t>
            </w:r>
            <w:r w:rsidRPr="00F34821">
              <w:rPr>
                <w:color w:val="auto"/>
                <w:sz w:val="21"/>
                <w:szCs w:val="21"/>
              </w:rPr>
              <w:t xml:space="preserve"> Managers</w:t>
            </w:r>
          </w:p>
        </w:tc>
        <w:tc>
          <w:tcPr>
            <w:tcW w:w="621" w:type="pct"/>
            <w:shd w:val="clear" w:color="auto" w:fill="auto"/>
            <w:hideMark/>
          </w:tcPr>
          <w:p w:rsidR="00376108" w:rsidRPr="00F34821" w:rsidRDefault="00376108" w:rsidP="00BA0839">
            <w:pPr>
              <w:pStyle w:val="TableText"/>
              <w:rPr>
                <w:color w:val="auto"/>
                <w:sz w:val="21"/>
                <w:szCs w:val="21"/>
              </w:rPr>
            </w:pPr>
            <w:r w:rsidRPr="00F34821">
              <w:rPr>
                <w:color w:val="auto"/>
                <w:sz w:val="21"/>
                <w:szCs w:val="21"/>
              </w:rPr>
              <w:t>Yes</w:t>
            </w:r>
          </w:p>
        </w:tc>
        <w:tc>
          <w:tcPr>
            <w:tcW w:w="3149" w:type="pct"/>
            <w:shd w:val="clear" w:color="auto" w:fill="auto"/>
            <w:hideMark/>
          </w:tcPr>
          <w:p w:rsidR="00376108" w:rsidRPr="00F34821" w:rsidRDefault="00376108" w:rsidP="00BA0839">
            <w:pPr>
              <w:pStyle w:val="TableBullet1"/>
              <w:rPr>
                <w:color w:val="auto"/>
                <w:sz w:val="21"/>
                <w:szCs w:val="21"/>
              </w:rPr>
            </w:pPr>
            <w:r w:rsidRPr="00F34821">
              <w:rPr>
                <w:color w:val="auto"/>
                <w:sz w:val="21"/>
                <w:szCs w:val="21"/>
              </w:rPr>
              <w:t>State of Florida Licensed Registered Nurse with at least 2 years of pediatric experience or Licensed Practical nurse with 4 years of pediatric experience, or MA degree in social work with at least 1 year of related professional experience</w:t>
            </w:r>
          </w:p>
          <w:p w:rsidR="00376108" w:rsidRPr="00F34821" w:rsidRDefault="00376108" w:rsidP="00BA0839">
            <w:pPr>
              <w:pStyle w:val="TableBullet1"/>
              <w:rPr>
                <w:color w:val="auto"/>
                <w:sz w:val="21"/>
                <w:szCs w:val="21"/>
              </w:rPr>
            </w:pPr>
            <w:r w:rsidRPr="00F34821">
              <w:rPr>
                <w:color w:val="auto"/>
                <w:sz w:val="21"/>
                <w:szCs w:val="21"/>
              </w:rPr>
              <w:t>Experience in managing care for including high-risk groups, such as children with SED, with co-occurring major mental disorders and SUD, who are involved in multiple services systems (education, justice, medical, welfare, and child welfare</w:t>
            </w:r>
            <w:r>
              <w:rPr>
                <w:color w:val="auto"/>
                <w:sz w:val="21"/>
                <w:szCs w:val="21"/>
              </w:rPr>
              <w:t>);</w:t>
            </w:r>
            <w:r w:rsidRPr="00F34821">
              <w:rPr>
                <w:color w:val="auto"/>
                <w:sz w:val="21"/>
                <w:szCs w:val="21"/>
              </w:rPr>
              <w:t xml:space="preserve"> Children with medical fragility/complex medical conditions requiring significant medical or technological health supports.</w:t>
            </w:r>
          </w:p>
        </w:tc>
      </w:tr>
    </w:tbl>
    <w:p w:rsidR="00080BE4" w:rsidRDefault="00080BE4"/>
    <w:sectPr w:rsidR="00080B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09E" w:rsidRDefault="0090309E" w:rsidP="00376108">
      <w:r>
        <w:separator/>
      </w:r>
    </w:p>
  </w:endnote>
  <w:endnote w:type="continuationSeparator" w:id="0">
    <w:p w:rsidR="0090309E" w:rsidRDefault="0090309E" w:rsidP="0037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09E" w:rsidRDefault="0090309E" w:rsidP="00376108">
      <w:r>
        <w:separator/>
      </w:r>
    </w:p>
  </w:footnote>
  <w:footnote w:type="continuationSeparator" w:id="0">
    <w:p w:rsidR="0090309E" w:rsidRDefault="0090309E" w:rsidP="0037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108" w:rsidRPr="001319D0" w:rsidRDefault="00376108" w:rsidP="00376108">
    <w:pPr>
      <w:pStyle w:val="Header"/>
      <w:jc w:val="center"/>
      <w:rPr>
        <w:b/>
        <w:bCs/>
        <w:sz w:val="26"/>
        <w:szCs w:val="26"/>
      </w:rPr>
    </w:pPr>
    <w:r w:rsidRPr="003B1EEA">
      <w:rPr>
        <w:b/>
        <w:bCs/>
        <w:sz w:val="26"/>
        <w:szCs w:val="26"/>
      </w:rPr>
      <w:t>EXHIBIT 1</w:t>
    </w:r>
  </w:p>
  <w:p w:rsidR="00376108" w:rsidRPr="006359AC" w:rsidRDefault="00376108" w:rsidP="00376108">
    <w:pPr>
      <w:pStyle w:val="Header"/>
      <w:jc w:val="center"/>
      <w:rPr>
        <w:b/>
        <w:sz w:val="26"/>
        <w:szCs w:val="26"/>
      </w:rPr>
    </w:pPr>
    <w:r w:rsidRPr="006359AC">
      <w:rPr>
        <w:b/>
      </w:rPr>
      <w:t>Respondent Staffing Requirements for Children’s Health and Behavioral Health Benefit Administration</w:t>
    </w:r>
  </w:p>
  <w:p w:rsidR="00376108" w:rsidRDefault="00376108">
    <w:pPr>
      <w:pStyle w:val="Header"/>
    </w:pPr>
  </w:p>
  <w:p w:rsidR="00376108" w:rsidRDefault="00376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B27C7"/>
    <w:multiLevelType w:val="multilevel"/>
    <w:tmpl w:val="F83847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strike w:val="0"/>
        <w:dstrike w:val="0"/>
        <w:vanish w:val="0"/>
        <w:webHidden w:val="0"/>
        <w:u w:val="none"/>
        <w:effect w:val="none"/>
        <w:specVanish w:val="0"/>
      </w:rPr>
    </w:lvl>
    <w:lvl w:ilvl="5">
      <w:start w:val="1"/>
      <w:numFmt w:val="lowerRoman"/>
      <w:pStyle w:val="TableBullet2"/>
      <w:lvlText w:val="–"/>
      <w:lvlJc w:val="left"/>
      <w:pPr>
        <w:tabs>
          <w:tab w:val="num" w:pos="720"/>
        </w:tabs>
        <w:ind w:left="720" w:hanging="360"/>
      </w:pPr>
      <w:rPr>
        <w:rFonts w:ascii="Arial" w:hAnsi="Arial" w:cs="Arial"/>
        <w:b w:val="0"/>
        <w:i w:val="0"/>
        <w:caps w:val="0"/>
        <w:smallCaps w:val="0"/>
        <w:strike w:val="0"/>
        <w:dstrike w:val="0"/>
        <w:vanish w:val="0"/>
        <w:webHidden w:val="0"/>
        <w:u w:val="none"/>
        <w:effect w:val="none"/>
        <w:specVanish w:val="0"/>
      </w:rPr>
    </w:lvl>
    <w:lvl w:ilvl="6">
      <w:start w:val="1"/>
      <w:numFmt w:val="decimal"/>
      <w:pStyle w:val="TableBullet3"/>
      <w:lvlText w:val="›"/>
      <w:lvlJc w:val="left"/>
      <w:pPr>
        <w:tabs>
          <w:tab w:val="num" w:pos="1080"/>
        </w:tabs>
        <w:ind w:left="1080" w:hanging="360"/>
      </w:pPr>
      <w:rPr>
        <w:rFonts w:ascii="Arial" w:hAnsi="Arial" w:cs="Arial"/>
        <w:b w:val="0"/>
        <w:i w:val="0"/>
        <w:caps w:val="0"/>
        <w:smallCaps w:val="0"/>
        <w:strike w:val="0"/>
        <w:dstrike w:val="0"/>
        <w:vanish w:val="0"/>
        <w:webHidden w:val="0"/>
        <w:u w:val="none"/>
        <w:effect w:val="none"/>
        <w:specVanish w:val="0"/>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strike w:val="0"/>
        <w:dstrike w:val="0"/>
        <w:vanish w:val="0"/>
        <w:webHidden w:val="0"/>
        <w:u w:val="none"/>
        <w:effect w:val="none"/>
        <w:specVanish w:val="0"/>
      </w:r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08"/>
    <w:rsid w:val="00080BE4"/>
    <w:rsid w:val="00376108"/>
    <w:rsid w:val="0090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8601"/>
  <w15:chartTrackingRefBased/>
  <w15:docId w15:val="{6A595FE0-DEB6-41C2-99B8-F3EACC7F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76108"/>
    <w:pPr>
      <w:widowControl w:val="0"/>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76108"/>
  </w:style>
  <w:style w:type="character" w:customStyle="1" w:styleId="TableBullet1Char">
    <w:name w:val="Table Bullet 1 Char"/>
    <w:basedOn w:val="DefaultParagraphFont"/>
    <w:link w:val="TableBullet1"/>
    <w:locked/>
    <w:rsid w:val="00376108"/>
    <w:rPr>
      <w:rFonts w:ascii="Arial" w:eastAsia="Times New Roman" w:hAnsi="Arial" w:cs="Arial"/>
      <w:color w:val="404040"/>
    </w:rPr>
  </w:style>
  <w:style w:type="paragraph" w:customStyle="1" w:styleId="TableBullet1">
    <w:name w:val="Table Bullet 1"/>
    <w:basedOn w:val="Normal"/>
    <w:link w:val="TableBullet1Char"/>
    <w:qFormat/>
    <w:rsid w:val="00376108"/>
    <w:pPr>
      <w:widowControl/>
      <w:numPr>
        <w:ilvl w:val="4"/>
        <w:numId w:val="1"/>
      </w:numPr>
      <w:spacing w:before="60" w:after="60" w:line="260" w:lineRule="atLeast"/>
      <w:outlineLvl w:val="4"/>
    </w:pPr>
    <w:rPr>
      <w:rFonts w:eastAsia="Times New Roman" w:cs="Arial"/>
      <w:color w:val="404040"/>
    </w:rPr>
  </w:style>
  <w:style w:type="paragraph" w:customStyle="1" w:styleId="TableBullet2">
    <w:name w:val="Table Bullet 2"/>
    <w:basedOn w:val="Normal"/>
    <w:qFormat/>
    <w:rsid w:val="00376108"/>
    <w:pPr>
      <w:widowControl/>
      <w:numPr>
        <w:ilvl w:val="5"/>
        <w:numId w:val="1"/>
      </w:numPr>
      <w:spacing w:before="60" w:after="60" w:line="260" w:lineRule="atLeast"/>
      <w:outlineLvl w:val="5"/>
    </w:pPr>
    <w:rPr>
      <w:rFonts w:eastAsia="Times New Roman" w:cs="Arial"/>
      <w:color w:val="404040"/>
    </w:rPr>
  </w:style>
  <w:style w:type="paragraph" w:customStyle="1" w:styleId="TableBullet3">
    <w:name w:val="Table Bullet 3"/>
    <w:basedOn w:val="Normal"/>
    <w:qFormat/>
    <w:rsid w:val="00376108"/>
    <w:pPr>
      <w:widowControl/>
      <w:numPr>
        <w:ilvl w:val="6"/>
        <w:numId w:val="1"/>
      </w:numPr>
      <w:spacing w:before="60" w:after="60" w:line="260" w:lineRule="atLeast"/>
      <w:outlineLvl w:val="6"/>
    </w:pPr>
    <w:rPr>
      <w:rFonts w:eastAsia="Times New Roman" w:cs="Arial"/>
      <w:color w:val="404040"/>
    </w:rPr>
  </w:style>
  <w:style w:type="paragraph" w:customStyle="1" w:styleId="TableBullet4">
    <w:name w:val="Table Bullet 4"/>
    <w:basedOn w:val="Normal"/>
    <w:qFormat/>
    <w:rsid w:val="00376108"/>
    <w:pPr>
      <w:widowControl/>
      <w:numPr>
        <w:ilvl w:val="7"/>
        <w:numId w:val="1"/>
      </w:numPr>
      <w:spacing w:before="60" w:after="60" w:line="260" w:lineRule="atLeast"/>
      <w:outlineLvl w:val="7"/>
    </w:pPr>
    <w:rPr>
      <w:rFonts w:eastAsia="Times New Roman" w:cs="Arial"/>
      <w:color w:val="404040"/>
    </w:rPr>
  </w:style>
  <w:style w:type="character" w:customStyle="1" w:styleId="TableTextChar">
    <w:name w:val="Table Text Char"/>
    <w:basedOn w:val="DefaultParagraphFont"/>
    <w:link w:val="TableText"/>
    <w:locked/>
    <w:rsid w:val="00376108"/>
    <w:rPr>
      <w:rFonts w:ascii="Arial" w:eastAsia="Times New Roman" w:hAnsi="Arial" w:cs="Arial"/>
      <w:color w:val="404040"/>
      <w:sz w:val="20"/>
      <w:szCs w:val="20"/>
    </w:rPr>
  </w:style>
  <w:style w:type="paragraph" w:customStyle="1" w:styleId="TableText">
    <w:name w:val="Table Text"/>
    <w:basedOn w:val="Normal"/>
    <w:link w:val="TableTextChar"/>
    <w:qFormat/>
    <w:rsid w:val="00376108"/>
    <w:pPr>
      <w:widowControl/>
      <w:spacing w:before="60" w:after="60" w:line="260" w:lineRule="atLeast"/>
    </w:pPr>
    <w:rPr>
      <w:rFonts w:eastAsia="Times New Roman" w:cs="Arial"/>
      <w:color w:val="404040"/>
      <w:sz w:val="20"/>
      <w:szCs w:val="20"/>
    </w:rPr>
  </w:style>
  <w:style w:type="paragraph" w:styleId="Header">
    <w:name w:val="header"/>
    <w:basedOn w:val="Normal"/>
    <w:link w:val="HeaderChar"/>
    <w:uiPriority w:val="99"/>
    <w:unhideWhenUsed/>
    <w:rsid w:val="00376108"/>
    <w:pPr>
      <w:tabs>
        <w:tab w:val="center" w:pos="4680"/>
        <w:tab w:val="right" w:pos="9360"/>
      </w:tabs>
    </w:pPr>
  </w:style>
  <w:style w:type="character" w:customStyle="1" w:styleId="HeaderChar">
    <w:name w:val="Header Char"/>
    <w:basedOn w:val="DefaultParagraphFont"/>
    <w:link w:val="Header"/>
    <w:uiPriority w:val="99"/>
    <w:rsid w:val="00376108"/>
    <w:rPr>
      <w:rFonts w:ascii="Arial" w:hAnsi="Arial"/>
    </w:rPr>
  </w:style>
  <w:style w:type="paragraph" w:styleId="Footer">
    <w:name w:val="footer"/>
    <w:basedOn w:val="Normal"/>
    <w:link w:val="FooterChar"/>
    <w:uiPriority w:val="99"/>
    <w:unhideWhenUsed/>
    <w:rsid w:val="00376108"/>
    <w:pPr>
      <w:tabs>
        <w:tab w:val="center" w:pos="4680"/>
        <w:tab w:val="right" w:pos="9360"/>
      </w:tabs>
    </w:pPr>
  </w:style>
  <w:style w:type="character" w:customStyle="1" w:styleId="FooterChar">
    <w:name w:val="Footer Char"/>
    <w:basedOn w:val="DefaultParagraphFont"/>
    <w:link w:val="Footer"/>
    <w:uiPriority w:val="99"/>
    <w:rsid w:val="0037610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Trahan, Diana</dc:creator>
  <cp:keywords/>
  <dc:description/>
  <cp:lastModifiedBy>Trahan, Diana</cp:lastModifiedBy>
  <cp:revision>1</cp:revision>
  <dcterms:created xsi:type="dcterms:W3CDTF">2018-01-31T15:19:00Z</dcterms:created>
  <dcterms:modified xsi:type="dcterms:W3CDTF">2018-01-31T15:20:00Z</dcterms:modified>
</cp:coreProperties>
</file>