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1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72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809"/>
        <w:gridCol w:w="1958"/>
        <w:gridCol w:w="1535"/>
        <w:gridCol w:w="1331"/>
        <w:gridCol w:w="1462"/>
        <w:gridCol w:w="6922"/>
      </w:tblGrid>
      <w:tr w:rsidR="0074636B" w:rsidRPr="0097427B" w:rsidTr="00ED641F">
        <w:trPr>
          <w:cantSplit/>
          <w:tblHeader/>
          <w:tblCellSpacing w:w="0" w:type="dxa"/>
        </w:trPr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64B8E" w:rsidRPr="0097427B" w:rsidRDefault="007B650F" w:rsidP="00F64B8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 Code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64B8E" w:rsidRPr="0097427B" w:rsidRDefault="00F64B8E" w:rsidP="00F64B8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</w:tcPr>
          <w:p w:rsidR="001F2F02" w:rsidRPr="0097427B" w:rsidRDefault="001F2F02" w:rsidP="001F2F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State</w:t>
            </w:r>
          </w:p>
          <w:p w:rsidR="00F64B8E" w:rsidRPr="0097427B" w:rsidRDefault="001F2F02" w:rsidP="001F2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Award</w:t>
            </w:r>
          </w:p>
        </w:tc>
        <w:tc>
          <w:tcPr>
            <w:tcW w:w="1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52B7C" w:rsidRPr="0097427B" w:rsidRDefault="00152B7C" w:rsidP="0015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Grantee</w:t>
            </w:r>
          </w:p>
          <w:p w:rsidR="00F64B8E" w:rsidRPr="0097427B" w:rsidRDefault="00152B7C" w:rsidP="00152B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Match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</w:tcPr>
          <w:p w:rsidR="00F64B8E" w:rsidRPr="0097427B" w:rsidRDefault="001F2F02" w:rsidP="00152B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6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64B8E" w:rsidRPr="0097427B" w:rsidRDefault="002846E6" w:rsidP="00F64B8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Summary of Project as Approved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M6024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Emergency Education Institute, LLC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$15,000.00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$20,000.00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Pursue accreditation from </w:t>
            </w:r>
            <w:r w:rsidR="007B650F">
              <w:rPr>
                <w:rFonts w:ascii="Calibri" w:hAnsi="Calibri" w:cs="Calibri"/>
                <w:color w:val="000000"/>
              </w:rPr>
              <w:t>the Committee</w:t>
            </w:r>
            <w:r>
              <w:rPr>
                <w:rFonts w:ascii="Calibri" w:hAnsi="Calibri" w:cs="Calibri"/>
                <w:color w:val="000000"/>
              </w:rPr>
              <w:t xml:space="preserve"> on Accreditation of Educational Programs for the Emergency Medical Services Professions (</w:t>
            </w:r>
            <w:proofErr w:type="spellStart"/>
            <w:r>
              <w:rPr>
                <w:rFonts w:ascii="Calibri" w:hAnsi="Calibri" w:cs="Calibri"/>
                <w:color w:val="000000"/>
              </w:rPr>
              <w:t>CoAEMSP</w:t>
            </w:r>
            <w:proofErr w:type="spellEnd"/>
            <w:r>
              <w:rPr>
                <w:rFonts w:ascii="Calibri" w:hAnsi="Calibri" w:cs="Calibri"/>
                <w:color w:val="000000"/>
              </w:rPr>
              <w:t>) so graduates can obtain licensure.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M6019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EMETSEEI Institute, Inc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$27,000.00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$9,000.00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$36,000.00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 the institutional accreditation workshop, submit Self Evaluation report, and obtain accreditation so our paramedic students can take the National Registry Exam.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M6016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 Response Training Group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$25,875.00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$8,625.00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$34,500.00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Fulfill financial obligation to the Accrediting Bureau of Health Education Schools (ABHES) and expedite the application process for the Committee on Accreditation of Educational Programs for the </w:t>
            </w:r>
            <w:r>
              <w:rPr>
                <w:rFonts w:ascii="Calibri" w:hAnsi="Calibri" w:cs="Calibri"/>
                <w:color w:val="000000"/>
              </w:rPr>
              <w:br/>
              <w:t>Emergency Medical Services Professions (</w:t>
            </w:r>
            <w:proofErr w:type="spellStart"/>
            <w:r>
              <w:rPr>
                <w:rFonts w:ascii="Calibri" w:hAnsi="Calibri" w:cs="Calibri"/>
                <w:color w:val="000000"/>
              </w:rPr>
              <w:t>CoAEMSP</w:t>
            </w:r>
            <w:proofErr w:type="spellEnd"/>
            <w:r w:rsidR="007B650F">
              <w:rPr>
                <w:rFonts w:ascii="Calibri" w:hAnsi="Calibri" w:cs="Calibri"/>
                <w:color w:val="000000"/>
              </w:rPr>
              <w:t>).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M6044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Florida Association of EMS Medical Directors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$49,950.00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$16,650.00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$66,600.00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 with the Emergency Medicine Learning and Resource Center for webinars on "A review of prehospital hemorrhage control, disaster, and mass casualty management" for EMS professionals.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M6045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Florida College of Emergency Physicians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$49,500.00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$16,500.00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$66,000.00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Contract with the Emergency Medicine Learning and Resource Center for webinars on updates in the areas of </w:t>
            </w:r>
            <w:r w:rsidR="007B650F">
              <w:rPr>
                <w:rFonts w:ascii="Calibri" w:hAnsi="Calibri" w:cs="Calibri"/>
                <w:color w:val="000000"/>
              </w:rPr>
              <w:t>opioid,</w:t>
            </w:r>
            <w:r>
              <w:rPr>
                <w:rFonts w:ascii="Calibri" w:hAnsi="Calibri" w:cs="Calibri"/>
                <w:color w:val="000000"/>
              </w:rPr>
              <w:t xml:space="preserve"> synthetic drug use, and emerging trends within those areas.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M6081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Florida Hospital EMS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$7,462.00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$2,487.00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$9,949.00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resources will enable the use of video laryngoscopes which will result in less complications and better outcomes for patients.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M6083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Hallandale Beach, City of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$55,500.00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$18,500.00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$74,000.00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Two power stretchers and three power load fastener systems.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M6036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Hernando County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$35,064.00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$11,688.00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$46,752.00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Two LUCAS Chest Compression systems, with batteries, power supplies, and </w:t>
            </w:r>
            <w:r w:rsidR="007B650F">
              <w:rPr>
                <w:rFonts w:ascii="Calibri" w:hAnsi="Calibri" w:cs="Calibri"/>
                <w:color w:val="000000"/>
              </w:rPr>
              <w:t>standalone</w:t>
            </w:r>
            <w:r>
              <w:rPr>
                <w:rFonts w:ascii="Calibri" w:hAnsi="Calibri" w:cs="Calibri"/>
                <w:color w:val="000000"/>
              </w:rPr>
              <w:t xml:space="preserve"> battery chargers.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M6009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Leesburg Fire-Rescue, City of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$9,825.00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$3,275.00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$13,100.00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Patient simulator equipment to enable teaching Tactical Emergency Casualty Care.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M6039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 County EMS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$34,241.00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$11,414.00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$45,655.00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thousand Family and Friends CPR Anytime Kits and other expenses to provide CPR training at public events.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M6038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 County EMS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$36,026.00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$12,009.00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$48,035.00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Twenty Video Laryngoscopes, one for each active ALS unit.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M6086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Lifeguard Ambulance Service of Florida, LLC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$93,750.00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$31,250.00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$125,000.00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Three </w:t>
            </w:r>
            <w:proofErr w:type="spellStart"/>
            <w:r>
              <w:rPr>
                <w:rFonts w:ascii="Calibri" w:hAnsi="Calibri" w:cs="Calibri"/>
                <w:color w:val="000000"/>
              </w:rPr>
              <w:t>LifePak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15's and accessories.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M6006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Manatee County Board of County Commissioners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$24,750.00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$8,250.00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$33,000.00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Thirty ballistic vests to protect EMS system </w:t>
            </w:r>
            <w:r w:rsidR="007B650F">
              <w:rPr>
                <w:rFonts w:ascii="Calibri" w:hAnsi="Calibri" w:cs="Calibri"/>
                <w:color w:val="000000"/>
              </w:rPr>
              <w:t>personnel providing</w:t>
            </w:r>
            <w:r>
              <w:rPr>
                <w:rFonts w:ascii="Calibri" w:hAnsi="Calibri" w:cs="Calibri"/>
                <w:color w:val="000000"/>
              </w:rPr>
              <w:t xml:space="preserve"> services in "hot" zones.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M6077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Miami Beach, City of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$58,500.00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$19,500.00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$78,000.00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Two powered stretchers to minimize lifting injury risks to patients and staff.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M6026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Miami Department of Fire-Rescue, City of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$25,834.00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$8,611.00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$34,445.00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 video laryngoscopes to enable successful intubations when needed.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M6087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Health Transport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$27,377.00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$9,126.00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$36,503.00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Two Power Pro ambulance cots, accessories, and related.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M6055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Nature Coast Emergency Medical Institute, Inc.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$11,981.00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$3,994.00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$15,975.00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and implement a marketing and advertisement program to increase enrollment for EMS education including credentialing courses.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M6059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Nature Coast EMS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$50,942.00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$16,981.00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$67,923.00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a digital marketing strategy to bring awareness to potential job openings in Florida as the premier place of employment for EMS services.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M6048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Nature Coast EMS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$32,613.00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$10,871.00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$43,484.00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intubation rodeo for training EMS professionals to improve their skills in clearing the human airway for breathing under emergency situations.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M6047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Nature Coast EMS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$28,001.00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$9,334.00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$37,335.00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Eight rugged computers with better performance, larger processors, and stronger connectivity, plus warranties.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M6067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Ocoee Fire Department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$32,130.00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$10,710.00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$42,840.00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grant resources will enable all medical supplies and pharmaceuticals to be accurately inventoried, tracked and monitored for usage and expiration.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M6018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Orlando Fire Department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$53,190.00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$17,730.00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$70,920.00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Five chest compression devices with battery chargers, and batteries.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M6063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 Beach County Fire Rescue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$137,730.00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$45,910.00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$183,640.00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Implement a hospital readmission reduction program for discharged patients with diagnosed Congestive Heart Disease.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M6068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 Beach Gardens, City of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$5,001.00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$1,667.00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$6,668.00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Nine Quantum ACR child patient restraints.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M6070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Palm Coast Fire Rescue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$16,161.00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$5,387.00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$21,548.00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Fifteen AEDs placed throughout the community for use when needed by trained persons among the public.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M6027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Pasco County Fire Rescue Dept.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$22,969.00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$7,656.00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$30,625.00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Five electrostatic sanitizers, one for each of five battalions, to disinfect and sanitize the interiors of the ambulances and their medical equipment.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M6022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Satellite Beach Fire Rescue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$44,092.00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$14,698.00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$58,790.00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Maintain a Community Paramedic on a 24/7 basis to evaluate patients at 911 call sites and as needed provide appropriate medical care solutions.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M6061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ShandsCair</w:t>
            </w:r>
            <w:proofErr w:type="spellEnd"/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$19,609.00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$6,536.00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$26,145.00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Hamilton-T-1 transport ventilator - Vizient Package, required to provide adequate ventilation and oxygen to critical care patients.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M6003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Petersburg College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$28,127.00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$9,376.00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$37,503.00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Enhanced simulation training equipment and resources to expand training capabilities and capacity by acquiring and using "</w:t>
            </w:r>
            <w:proofErr w:type="spellStart"/>
            <w:r>
              <w:rPr>
                <w:rFonts w:ascii="Calibri" w:hAnsi="Calibri" w:cs="Calibri"/>
                <w:color w:val="000000"/>
              </w:rPr>
              <w:t>Magacode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Kelly" and "Crash Kelly" equipment.</w:t>
            </w:r>
            <w:r w:rsidR="007B650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Enhanced simulation training equipment and resources to expand training capabilities and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M6058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Sunrise Fire-Rescue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$30,406.00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$10,135.00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$40,541.00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Two automatic CPR devices with service contracts.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M6072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Tamarac Fire Rescue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$18,421.00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$6,140.00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$24,561.00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power-load unit for lifting power stretcher on front line rescue vehicle.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M6064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Tampa Fire Rescue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$54,906.00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$18,302.00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$73,208.00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Two cardiac monitor-defibrillators with accessories and related.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M6015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Tavares Fire Department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$10,105.00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$3,368.00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$13,473.00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Maneuverable medical cart is needed for use at events with large crowds- a 4 seat </w:t>
            </w:r>
            <w:proofErr w:type="gramStart"/>
            <w:r>
              <w:rPr>
                <w:rFonts w:ascii="Calibri" w:hAnsi="Calibri" w:cs="Calibri"/>
                <w:color w:val="000000"/>
              </w:rPr>
              <w:t>mule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pro-</w:t>
            </w:r>
            <w:proofErr w:type="spellStart"/>
            <w:r>
              <w:rPr>
                <w:rFonts w:ascii="Calibri" w:hAnsi="Calibri" w:cs="Calibri"/>
                <w:color w:val="000000"/>
              </w:rPr>
              <w:t>fxt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hard roof.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M6053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Temple Terrace Fire Department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$6,870.00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$2,290.00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$9,160.00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Five 3G modems and Verizon data plan to enable 12-lead transmission of data to the receiving facility prior to arrival.</w:t>
            </w:r>
          </w:p>
        </w:tc>
      </w:tr>
      <w:tr w:rsidR="00ED641F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M6085</w:t>
            </w: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Urgent Response Training Institute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$25,500.00</w:t>
            </w:r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$8,500.00</w:t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$34,000.00</w:t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ED641F" w:rsidRDefault="00ED641F" w:rsidP="00ED6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Begin the accreditation process, which when complete will enable current and future graduates to become licensed paramedics.</w:t>
            </w:r>
          </w:p>
        </w:tc>
      </w:tr>
      <w:tr w:rsidR="00004166" w:rsidRPr="0097427B" w:rsidTr="00ED641F">
        <w:trPr>
          <w:cantSplit/>
          <w:tblCellSpacing w:w="0" w:type="dxa"/>
        </w:trPr>
        <w:tc>
          <w:tcPr>
            <w:tcW w:w="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 w:themeFill="background1"/>
            <w:vAlign w:val="bottom"/>
          </w:tcPr>
          <w:p w:rsidR="00004166" w:rsidRPr="0097427B" w:rsidRDefault="000041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BE5F1" w:themeFill="accent1" w:themeFillTint="33"/>
            <w:vAlign w:val="bottom"/>
          </w:tcPr>
          <w:p w:rsidR="00004166" w:rsidRPr="0097427B" w:rsidRDefault="00004166" w:rsidP="0001063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  <w:r w:rsidR="00010638"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=</w:t>
            </w:r>
            <w:r w:rsidR="00010638"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BE5F1" w:themeFill="accent1" w:themeFillTint="33"/>
            <w:vAlign w:val="bottom"/>
          </w:tcPr>
          <w:p w:rsidR="00004166" w:rsidRPr="0097427B" w:rsidRDefault="00004166" w:rsidP="0074636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=SUM(ABOVE) \# "$#,##0.00;($#,##0.00)" </w:instrText>
            </w: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311834" w:rsidRPr="0097427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$</w:t>
            </w:r>
            <w:r w:rsidR="00311834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1,204,408.00</w:t>
            </w: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3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 w:themeFill="background1"/>
            <w:vAlign w:val="bottom"/>
          </w:tcPr>
          <w:p w:rsidR="00004166" w:rsidRPr="009522CD" w:rsidRDefault="00004166" w:rsidP="001C7A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2C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522C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=SUM(ABOVE) \# "$#,##0.00;($#,##0.00)" </w:instrText>
            </w:r>
            <w:r w:rsidRPr="009522C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11834" w:rsidRPr="009522C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</w:t>
            </w:r>
            <w:r w:rsidR="0031183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401,470.00</w:t>
            </w:r>
            <w:r w:rsidRPr="009522C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 w:themeFill="background1"/>
            <w:vAlign w:val="bottom"/>
          </w:tcPr>
          <w:p w:rsidR="00004166" w:rsidRPr="009522CD" w:rsidRDefault="00004166" w:rsidP="001C7A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2C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522C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=SUM(ABOVE) \# "$#,##0.00;($#,##0.00)" </w:instrText>
            </w:r>
            <w:r w:rsidRPr="009522C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11834" w:rsidRPr="009522C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</w:t>
            </w:r>
            <w:r w:rsidR="0031183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1,605,878.00</w:t>
            </w:r>
            <w:r w:rsidRPr="009522C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DBE5F1" w:themeFill="accent1" w:themeFillTint="33"/>
            <w:vAlign w:val="bottom"/>
          </w:tcPr>
          <w:p w:rsidR="00004166" w:rsidRPr="0097427B" w:rsidRDefault="00004166" w:rsidP="0000416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of Projects = </w:t>
            </w: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=count(above)-1 \# "0" </w:instrText>
            </w: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311834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35</w:t>
            </w:r>
            <w:r w:rsidRPr="0097427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64B8E" w:rsidRDefault="00F64B8E"/>
    <w:sectPr w:rsidR="00F64B8E" w:rsidSect="009522CD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5B8" w:rsidRDefault="003F55B8" w:rsidP="00C862E7">
      <w:r>
        <w:separator/>
      </w:r>
    </w:p>
  </w:endnote>
  <w:endnote w:type="continuationSeparator" w:id="0">
    <w:p w:rsidR="003F55B8" w:rsidRDefault="003F55B8" w:rsidP="00C8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C4C" w:rsidRDefault="00C21C4C" w:rsidP="00C21C4C">
    <w:pPr>
      <w:tabs>
        <w:tab w:val="left" w:pos="0"/>
        <w:tab w:val="left" w:pos="90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Florida Department of Health</w:t>
    </w:r>
    <w:r w:rsidR="008F7745">
      <w:rPr>
        <w:rFonts w:ascii="Arial Black" w:hAnsi="Arial Black" w:cs="Arial"/>
        <w:b/>
        <w:sz w:val="16"/>
        <w:szCs w:val="16"/>
      </w:rPr>
      <w:t xml:space="preserve">                                                                             </w:t>
    </w:r>
  </w:p>
  <w:p w:rsidR="00C21C4C" w:rsidRPr="007C353E" w:rsidRDefault="00C21C4C" w:rsidP="00C21C4C">
    <w:pPr>
      <w:tabs>
        <w:tab w:val="left" w:pos="0"/>
        <w:tab w:val="left" w:pos="90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Bureau of Emergency Medical Oversight, Emergency Medical Services </w:t>
    </w:r>
    <w:r w:rsidR="009522CD">
      <w:rPr>
        <w:rFonts w:ascii="Arial Narrow" w:hAnsi="Arial Narrow" w:cs="Arial"/>
        <w:sz w:val="16"/>
        <w:szCs w:val="16"/>
      </w:rPr>
      <w:t>Section</w:t>
    </w:r>
  </w:p>
  <w:p w:rsidR="00C21C4C" w:rsidRPr="003D0B68" w:rsidRDefault="00C21C4C" w:rsidP="00C21C4C">
    <w:pPr>
      <w:tabs>
        <w:tab w:val="left" w:pos="0"/>
        <w:tab w:val="left" w:pos="90"/>
      </w:tabs>
      <w:jc w:val="center"/>
      <w:rPr>
        <w:rFonts w:ascii="Arial Narrow" w:hAnsi="Arial Narrow" w:cs="Arial"/>
        <w:sz w:val="16"/>
        <w:szCs w:val="16"/>
      </w:rPr>
    </w:pPr>
    <w:r w:rsidRPr="003D0B68">
      <w:rPr>
        <w:rFonts w:ascii="Arial Narrow" w:hAnsi="Arial Narrow" w:cs="Arial"/>
        <w:sz w:val="16"/>
        <w:szCs w:val="16"/>
      </w:rPr>
      <w:t xml:space="preserve">4052 Bald Cypress Way, </w:t>
    </w:r>
    <w:r>
      <w:rPr>
        <w:rFonts w:ascii="Arial Narrow" w:hAnsi="Arial Narrow" w:cs="Arial"/>
        <w:sz w:val="16"/>
        <w:szCs w:val="16"/>
      </w:rPr>
      <w:t xml:space="preserve">Mail </w:t>
    </w:r>
    <w:r w:rsidRPr="003D0B68">
      <w:rPr>
        <w:rFonts w:ascii="Arial Narrow" w:hAnsi="Arial Narrow" w:cs="Arial"/>
        <w:sz w:val="16"/>
        <w:szCs w:val="16"/>
      </w:rPr>
      <w:t xml:space="preserve">Bin </w:t>
    </w:r>
    <w:r>
      <w:rPr>
        <w:rFonts w:ascii="Arial Narrow" w:hAnsi="Arial Narrow" w:cs="Arial"/>
        <w:sz w:val="16"/>
        <w:szCs w:val="16"/>
      </w:rPr>
      <w:t xml:space="preserve">A-22 </w:t>
    </w:r>
    <w:r w:rsidRPr="003D0B68">
      <w:rPr>
        <w:rFonts w:ascii="Arial Narrow" w:hAnsi="Arial Narrow" w:cs="Arial"/>
        <w:sz w:val="16"/>
        <w:szCs w:val="16"/>
      </w:rPr>
      <w:t>•</w:t>
    </w:r>
    <w:r>
      <w:rPr>
        <w:rFonts w:ascii="Arial Narrow" w:hAnsi="Arial Narrow" w:cs="Arial"/>
        <w:sz w:val="16"/>
        <w:szCs w:val="16"/>
      </w:rPr>
      <w:t xml:space="preserve"> </w:t>
    </w:r>
    <w:r w:rsidRPr="003D0B68">
      <w:rPr>
        <w:rFonts w:ascii="Arial Narrow" w:hAnsi="Arial Narrow" w:cs="Arial"/>
        <w:sz w:val="16"/>
        <w:szCs w:val="16"/>
      </w:rPr>
      <w:t>Tallahassee, FL 32399</w:t>
    </w:r>
    <w:r>
      <w:rPr>
        <w:rFonts w:ascii="Arial Narrow" w:hAnsi="Arial Narrow" w:cs="Arial"/>
        <w:sz w:val="16"/>
        <w:szCs w:val="16"/>
      </w:rPr>
      <w:t>-1722</w:t>
    </w:r>
  </w:p>
  <w:p w:rsidR="00C862E7" w:rsidRDefault="00C21C4C" w:rsidP="00C21C4C">
    <w:pPr>
      <w:pStyle w:val="Footer"/>
      <w:jc w:val="center"/>
      <w:rPr>
        <w:rFonts w:ascii="Arial Narrow" w:hAnsi="Arial Narrow" w:cs="Arial"/>
        <w:sz w:val="16"/>
        <w:szCs w:val="16"/>
      </w:rPr>
    </w:pPr>
    <w:r w:rsidRPr="003D0B68">
      <w:rPr>
        <w:rFonts w:ascii="Arial Narrow" w:hAnsi="Arial Narrow" w:cs="Arial"/>
        <w:sz w:val="16"/>
        <w:szCs w:val="16"/>
      </w:rPr>
      <w:t xml:space="preserve">PHONE: </w:t>
    </w:r>
    <w:r>
      <w:rPr>
        <w:rFonts w:ascii="Arial Narrow" w:hAnsi="Arial Narrow" w:cs="Arial"/>
        <w:sz w:val="16"/>
        <w:szCs w:val="16"/>
      </w:rPr>
      <w:t xml:space="preserve">(850 </w:t>
    </w:r>
    <w:r w:rsidR="005D5DFF">
      <w:rPr>
        <w:rFonts w:ascii="Arial Narrow" w:hAnsi="Arial Narrow" w:cs="Arial"/>
        <w:sz w:val="16"/>
        <w:szCs w:val="16"/>
      </w:rPr>
      <w:t>558-9550</w:t>
    </w:r>
    <w:r>
      <w:rPr>
        <w:rFonts w:ascii="Arial Narrow" w:hAnsi="Arial Narrow" w:cs="Arial"/>
        <w:sz w:val="16"/>
        <w:szCs w:val="16"/>
      </w:rPr>
      <w:t xml:space="preserve"> • FAX (850) 245-4378</w:t>
    </w:r>
  </w:p>
  <w:p w:rsidR="008F7745" w:rsidRDefault="008F7745" w:rsidP="00C21C4C">
    <w:pPr>
      <w:pStyle w:val="Footer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June 201</w:t>
    </w:r>
    <w:r w:rsidR="005D5DFF">
      <w:rPr>
        <w:rFonts w:ascii="Arial Narrow" w:hAnsi="Arial Narrow" w:cs="Arial"/>
        <w:sz w:val="16"/>
        <w:szCs w:val="16"/>
      </w:rPr>
      <w:t>8</w:t>
    </w:r>
  </w:p>
  <w:p w:rsidR="0097427B" w:rsidRDefault="0097427B" w:rsidP="00C21C4C">
    <w:pPr>
      <w:pStyle w:val="Footer"/>
      <w:jc w:val="center"/>
      <w:rPr>
        <w:rFonts w:ascii="Arial Narrow" w:hAnsi="Arial Narrow" w:cs="Arial"/>
        <w:sz w:val="16"/>
        <w:szCs w:val="16"/>
      </w:rPr>
    </w:pPr>
  </w:p>
  <w:p w:rsidR="0097427B" w:rsidRPr="000B7CE3" w:rsidRDefault="0097427B" w:rsidP="0097427B">
    <w:pPr>
      <w:pStyle w:val="Footer"/>
      <w:jc w:val="right"/>
      <w:rPr>
        <w:rFonts w:ascii="Arial" w:hAnsi="Arial" w:cs="Arial"/>
        <w:sz w:val="12"/>
        <w:szCs w:val="12"/>
      </w:rPr>
    </w:pPr>
    <w:r w:rsidRPr="000B7CE3">
      <w:rPr>
        <w:rFonts w:ascii="Arial" w:hAnsi="Arial" w:cs="Arial"/>
        <w:sz w:val="12"/>
        <w:szCs w:val="12"/>
      </w:rPr>
      <w:fldChar w:fldCharType="begin"/>
    </w:r>
    <w:r w:rsidRPr="000B7CE3">
      <w:rPr>
        <w:rFonts w:ascii="Arial" w:hAnsi="Arial" w:cs="Arial"/>
        <w:sz w:val="12"/>
        <w:szCs w:val="12"/>
      </w:rPr>
      <w:instrText xml:space="preserve"> DATE  \@ "M/d/yyyy h:mm am/pm"  \* MERGEFORMAT </w:instrText>
    </w:r>
    <w:r w:rsidRPr="000B7CE3">
      <w:rPr>
        <w:rFonts w:ascii="Arial" w:hAnsi="Arial" w:cs="Arial"/>
        <w:sz w:val="12"/>
        <w:szCs w:val="12"/>
      </w:rPr>
      <w:fldChar w:fldCharType="separate"/>
    </w:r>
    <w:r w:rsidR="00311834">
      <w:rPr>
        <w:rFonts w:ascii="Arial" w:hAnsi="Arial" w:cs="Arial"/>
        <w:noProof/>
        <w:sz w:val="12"/>
        <w:szCs w:val="12"/>
      </w:rPr>
      <w:t>6/5/2018 11:10 AM</w:t>
    </w:r>
    <w:r w:rsidRPr="000B7CE3">
      <w:rPr>
        <w:rFonts w:ascii="Arial" w:hAnsi="Arial" w:cs="Arial"/>
        <w:sz w:val="12"/>
        <w:szCs w:val="12"/>
      </w:rPr>
      <w:fldChar w:fldCharType="end"/>
    </w:r>
    <w:r w:rsidRPr="000B7CE3">
      <w:rPr>
        <w:rFonts w:ascii="Arial" w:hAnsi="Arial" w:cs="Arial"/>
        <w:sz w:val="12"/>
        <w:szCs w:val="12"/>
      </w:rPr>
      <w:t xml:space="preserve">     </w:t>
    </w:r>
    <w:r w:rsidRPr="000B7CE3">
      <w:rPr>
        <w:rFonts w:ascii="Arial" w:hAnsi="Arial" w:cs="Arial"/>
        <w:sz w:val="12"/>
        <w:szCs w:val="12"/>
      </w:rPr>
      <w:fldChar w:fldCharType="begin"/>
    </w:r>
    <w:r w:rsidRPr="000B7CE3">
      <w:rPr>
        <w:rFonts w:ascii="Arial" w:hAnsi="Arial" w:cs="Arial"/>
        <w:sz w:val="12"/>
        <w:szCs w:val="12"/>
      </w:rPr>
      <w:instrText xml:space="preserve"> FILENAME  \p  \* MERGEFORMAT </w:instrText>
    </w:r>
    <w:r w:rsidRPr="000B7CE3">
      <w:rPr>
        <w:rFonts w:ascii="Arial" w:hAnsi="Arial" w:cs="Arial"/>
        <w:sz w:val="12"/>
        <w:szCs w:val="12"/>
      </w:rPr>
      <w:fldChar w:fldCharType="separate"/>
    </w:r>
    <w:r w:rsidR="007B650F">
      <w:rPr>
        <w:rFonts w:ascii="Arial" w:hAnsi="Arial" w:cs="Arial"/>
        <w:noProof/>
        <w:sz w:val="12"/>
        <w:szCs w:val="12"/>
      </w:rPr>
      <w:t>K:\KMainDrive\FY 2017-2018 Matching\2018 Post Urban Awards2.docx</w:t>
    </w:r>
    <w:r w:rsidRPr="000B7CE3">
      <w:rPr>
        <w:rFonts w:ascii="Arial" w:hAnsi="Arial" w:cs="Arial"/>
        <w:sz w:val="12"/>
        <w:szCs w:val="12"/>
      </w:rPr>
      <w:fldChar w:fldCharType="end"/>
    </w:r>
  </w:p>
  <w:p w:rsidR="0097427B" w:rsidRDefault="0097427B" w:rsidP="0097427B">
    <w:pPr>
      <w:pStyle w:val="Footer"/>
      <w:jc w:val="right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5B8" w:rsidRDefault="003F55B8" w:rsidP="00C862E7">
      <w:r>
        <w:separator/>
      </w:r>
    </w:p>
  </w:footnote>
  <w:footnote w:type="continuationSeparator" w:id="0">
    <w:p w:rsidR="003F55B8" w:rsidRDefault="003F55B8" w:rsidP="00C8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0" w:type="dxa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71"/>
      <w:gridCol w:w="11647"/>
    </w:tblGrid>
    <w:tr w:rsidR="00C862E7" w:rsidRPr="00A509BE" w:rsidTr="00C862E7">
      <w:trPr>
        <w:tblHeader/>
        <w:tblCellSpacing w:w="0" w:type="dxa"/>
      </w:trPr>
      <w:tc>
        <w:tcPr>
          <w:tcW w:w="0" w:type="auto"/>
          <w:shd w:val="clear" w:color="auto" w:fill="C0C0C0"/>
          <w:vAlign w:val="center"/>
        </w:tcPr>
        <w:p w:rsidR="00C862E7" w:rsidRPr="00A509BE" w:rsidRDefault="005D5DFF" w:rsidP="005110B5">
          <w:pPr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object w:dxaOrig="177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80.25pt">
                <v:imagedata r:id="rId1" o:title=""/>
              </v:shape>
              <o:OLEObject Type="Embed" ProgID="PBrush" ShapeID="_x0000_i1025" DrawAspect="Content" ObjectID="_1589702312" r:id="rId2"/>
            </w:object>
          </w:r>
        </w:p>
      </w:tc>
      <w:tc>
        <w:tcPr>
          <w:tcW w:w="11647" w:type="dxa"/>
          <w:shd w:val="clear" w:color="auto" w:fill="auto"/>
          <w:vAlign w:val="center"/>
        </w:tcPr>
        <w:p w:rsidR="00C862E7" w:rsidRPr="00A509BE" w:rsidRDefault="0097283D" w:rsidP="009522CD">
          <w:pPr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ascii="Calibri" w:eastAsia="Times New Roman" w:hAnsi="Calibri" w:cs="Calibri"/>
              <w:b/>
              <w:bCs/>
              <w:color w:val="1F497D" w:themeColor="text2"/>
              <w:sz w:val="36"/>
            </w:rPr>
            <w:t xml:space="preserve">Urban Based </w:t>
          </w:r>
          <w:r w:rsidR="00C862E7" w:rsidRPr="00062D92">
            <w:rPr>
              <w:rFonts w:ascii="Calibri" w:eastAsia="Times New Roman" w:hAnsi="Calibri" w:cs="Calibri"/>
              <w:b/>
              <w:bCs/>
              <w:color w:val="1F497D" w:themeColor="text2"/>
              <w:sz w:val="36"/>
            </w:rPr>
            <w:t>State EMS</w:t>
          </w:r>
          <w:r w:rsidR="00302E1C">
            <w:rPr>
              <w:rFonts w:ascii="Calibri" w:eastAsia="Times New Roman" w:hAnsi="Calibri" w:cs="Calibri"/>
              <w:b/>
              <w:bCs/>
              <w:color w:val="1F497D" w:themeColor="text2"/>
              <w:sz w:val="36"/>
            </w:rPr>
            <w:t xml:space="preserve"> Matching Grant Awards June 201</w:t>
          </w:r>
          <w:r w:rsidR="005D5DFF">
            <w:rPr>
              <w:rFonts w:ascii="Calibri" w:eastAsia="Times New Roman" w:hAnsi="Calibri" w:cs="Calibri"/>
              <w:b/>
              <w:bCs/>
              <w:color w:val="1F497D" w:themeColor="text2"/>
              <w:sz w:val="36"/>
            </w:rPr>
            <w:t>8</w:t>
          </w:r>
        </w:p>
      </w:tc>
    </w:tr>
  </w:tbl>
  <w:p w:rsidR="00C862E7" w:rsidRDefault="00C862E7" w:rsidP="00043E53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11834">
      <w:rPr>
        <w:noProof/>
      </w:rPr>
      <w:t>3</w:t>
    </w:r>
    <w:r>
      <w:fldChar w:fldCharType="end"/>
    </w:r>
    <w:r>
      <w:t xml:space="preserve"> of </w:t>
    </w:r>
    <w:r w:rsidR="00311834">
      <w:fldChar w:fldCharType="begin"/>
    </w:r>
    <w:r w:rsidR="00311834">
      <w:instrText xml:space="preserve"> NUMPAGES   \* MERGEFORMAT </w:instrText>
    </w:r>
    <w:r w:rsidR="00311834">
      <w:fldChar w:fldCharType="separate"/>
    </w:r>
    <w:r w:rsidR="00311834">
      <w:rPr>
        <w:noProof/>
      </w:rPr>
      <w:t>4</w:t>
    </w:r>
    <w:r w:rsidR="00311834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E"/>
    <w:rsid w:val="00004166"/>
    <w:rsid w:val="00010638"/>
    <w:rsid w:val="00043E53"/>
    <w:rsid w:val="00047A22"/>
    <w:rsid w:val="00062D92"/>
    <w:rsid w:val="00072C3D"/>
    <w:rsid w:val="00085B49"/>
    <w:rsid w:val="000D51FA"/>
    <w:rsid w:val="000E1819"/>
    <w:rsid w:val="00152B7C"/>
    <w:rsid w:val="001F2F02"/>
    <w:rsid w:val="002846E6"/>
    <w:rsid w:val="00302E1C"/>
    <w:rsid w:val="00311834"/>
    <w:rsid w:val="0035284D"/>
    <w:rsid w:val="00396AF3"/>
    <w:rsid w:val="003F55B8"/>
    <w:rsid w:val="0054274D"/>
    <w:rsid w:val="005D5DFF"/>
    <w:rsid w:val="005E4CB2"/>
    <w:rsid w:val="006009D0"/>
    <w:rsid w:val="00612185"/>
    <w:rsid w:val="006E7122"/>
    <w:rsid w:val="007008DB"/>
    <w:rsid w:val="007343C2"/>
    <w:rsid w:val="0074636B"/>
    <w:rsid w:val="00752E76"/>
    <w:rsid w:val="007B650F"/>
    <w:rsid w:val="008F7745"/>
    <w:rsid w:val="00931073"/>
    <w:rsid w:val="009522CD"/>
    <w:rsid w:val="0097283D"/>
    <w:rsid w:val="0097427B"/>
    <w:rsid w:val="00A27EC2"/>
    <w:rsid w:val="00A509BE"/>
    <w:rsid w:val="00BA661B"/>
    <w:rsid w:val="00C21C4C"/>
    <w:rsid w:val="00C47CEB"/>
    <w:rsid w:val="00C862E7"/>
    <w:rsid w:val="00CF44F4"/>
    <w:rsid w:val="00D51141"/>
    <w:rsid w:val="00D51DDA"/>
    <w:rsid w:val="00D74DEE"/>
    <w:rsid w:val="00DA3455"/>
    <w:rsid w:val="00DC1E19"/>
    <w:rsid w:val="00E3411E"/>
    <w:rsid w:val="00E621AD"/>
    <w:rsid w:val="00EA3EC7"/>
    <w:rsid w:val="00ED641F"/>
    <w:rsid w:val="00F03DF9"/>
    <w:rsid w:val="00F64B8E"/>
    <w:rsid w:val="00F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8BA4D4FD-C1B9-4E38-AE6A-21D5861A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2B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B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2B7"/>
    <w:pPr>
      <w:ind w:left="720"/>
      <w:contextualSpacing/>
    </w:pPr>
  </w:style>
  <w:style w:type="paragraph" w:customStyle="1" w:styleId="Style1">
    <w:name w:val="Style1"/>
    <w:basedOn w:val="Normal"/>
    <w:qFormat/>
    <w:rsid w:val="00F832B7"/>
    <w:pPr>
      <w:autoSpaceDE w:val="0"/>
      <w:autoSpaceDN w:val="0"/>
      <w:adjustRightInd w:val="0"/>
    </w:pPr>
    <w:rPr>
      <w:rFonts w:cs="Arial"/>
      <w:b/>
      <w:color w:val="FF0000"/>
      <w:u w:val="single"/>
    </w:rPr>
  </w:style>
  <w:style w:type="character" w:styleId="PlaceholderText">
    <w:name w:val="Placeholder Text"/>
    <w:basedOn w:val="DefaultParagraphFont"/>
    <w:uiPriority w:val="99"/>
    <w:semiHidden/>
    <w:rsid w:val="00C862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6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2E7"/>
  </w:style>
  <w:style w:type="paragraph" w:styleId="Footer">
    <w:name w:val="footer"/>
    <w:basedOn w:val="Normal"/>
    <w:link w:val="FooterChar"/>
    <w:uiPriority w:val="99"/>
    <w:unhideWhenUsed/>
    <w:rsid w:val="00C8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Lewen, Alan</dc:creator>
  <cp:lastModifiedBy>Van Lewen, Alan</cp:lastModifiedBy>
  <cp:revision>5</cp:revision>
  <cp:lastPrinted>2018-06-01T17:04:00Z</cp:lastPrinted>
  <dcterms:created xsi:type="dcterms:W3CDTF">2018-05-31T19:03:00Z</dcterms:created>
  <dcterms:modified xsi:type="dcterms:W3CDTF">2018-06-05T15:12:00Z</dcterms:modified>
</cp:coreProperties>
</file>