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722" w14:textId="5E4D0600" w:rsidR="00963854" w:rsidRDefault="00D53D5A" w:rsidP="00D53D5A">
      <w:pPr>
        <w:spacing w:after="0"/>
        <w:jc w:val="center"/>
        <w:rPr>
          <w:rFonts w:ascii="Arial" w:hAnsi="Arial" w:cs="Arial"/>
          <w:b/>
          <w:bCs/>
        </w:rPr>
      </w:pPr>
      <w:r w:rsidRPr="00D53D5A">
        <w:rPr>
          <w:rFonts w:ascii="Arial" w:hAnsi="Arial" w:cs="Arial"/>
          <w:b/>
          <w:bCs/>
        </w:rPr>
        <w:t xml:space="preserve">Exhibit </w:t>
      </w:r>
      <w:r w:rsidR="004806AB">
        <w:rPr>
          <w:rFonts w:ascii="Arial" w:hAnsi="Arial" w:cs="Arial"/>
          <w:b/>
          <w:bCs/>
        </w:rPr>
        <w:t>D</w:t>
      </w:r>
    </w:p>
    <w:p w14:paraId="4BEC268F" w14:textId="77777777" w:rsidR="00A637E9" w:rsidRPr="00D53D5A" w:rsidRDefault="00A637E9" w:rsidP="00D53D5A">
      <w:pPr>
        <w:spacing w:after="0"/>
        <w:jc w:val="center"/>
        <w:rPr>
          <w:rFonts w:ascii="Arial" w:hAnsi="Arial" w:cs="Arial"/>
          <w:b/>
          <w:bCs/>
        </w:rPr>
      </w:pPr>
    </w:p>
    <w:p w14:paraId="4BC45375" w14:textId="63B68E8D" w:rsidR="00D53D5A" w:rsidRPr="00D53D5A" w:rsidRDefault="00223E57" w:rsidP="00D53D5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Meeting Summary</w:t>
      </w:r>
      <w:r w:rsidR="00D53D5A" w:rsidRPr="00D53D5A">
        <w:rPr>
          <w:rFonts w:ascii="Arial" w:hAnsi="Arial" w:cs="Arial"/>
          <w:b/>
          <w:bCs/>
        </w:rPr>
        <w:t xml:space="preserve"> Report</w:t>
      </w:r>
    </w:p>
    <w:p w14:paraId="7C11B6DF" w14:textId="4EA18551" w:rsidR="00D53D5A" w:rsidRPr="00D53D5A" w:rsidRDefault="00D53D5A" w:rsidP="00D53D5A">
      <w:pPr>
        <w:spacing w:after="0"/>
        <w:jc w:val="center"/>
        <w:rPr>
          <w:rFonts w:ascii="Arial" w:hAnsi="Arial" w:cs="Arial"/>
          <w:b/>
          <w:bCs/>
        </w:rPr>
      </w:pPr>
    </w:p>
    <w:p w14:paraId="753170C1" w14:textId="78593370" w:rsidR="00D53D5A" w:rsidRDefault="00D53D5A" w:rsidP="00D53D5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Document </w:t>
      </w:r>
      <w:r w:rsidR="00B05477">
        <w:rPr>
          <w:rFonts w:ascii="Arial" w:hAnsi="Arial" w:cs="Arial"/>
          <w:b/>
          <w:bCs/>
        </w:rPr>
        <w:t>the community members and partners present, DOH staff and Provider staff present, d</w:t>
      </w:r>
      <w:r w:rsidR="00223E57">
        <w:rPr>
          <w:rFonts w:ascii="Arial" w:hAnsi="Arial" w:cs="Arial"/>
          <w:b/>
          <w:bCs/>
        </w:rPr>
        <w:t xml:space="preserve">ata </w:t>
      </w:r>
      <w:r w:rsidR="00B05477">
        <w:rPr>
          <w:rFonts w:ascii="Arial" w:hAnsi="Arial" w:cs="Arial"/>
          <w:b/>
          <w:bCs/>
        </w:rPr>
        <w:t>s</w:t>
      </w:r>
      <w:r w:rsidR="00223E57">
        <w:rPr>
          <w:rFonts w:ascii="Arial" w:hAnsi="Arial" w:cs="Arial"/>
          <w:b/>
          <w:bCs/>
        </w:rPr>
        <w:t xml:space="preserve">hared, </w:t>
      </w:r>
      <w:r w:rsidR="00B05477">
        <w:rPr>
          <w:rFonts w:ascii="Arial" w:hAnsi="Arial" w:cs="Arial"/>
          <w:b/>
          <w:bCs/>
        </w:rPr>
        <w:t xml:space="preserve">process for </w:t>
      </w:r>
      <w:r w:rsidR="00703A59">
        <w:rPr>
          <w:rFonts w:ascii="Arial" w:hAnsi="Arial" w:cs="Arial"/>
          <w:b/>
          <w:bCs/>
        </w:rPr>
        <w:t>reviewing, discussing and ranking health priorities, and</w:t>
      </w:r>
      <w:r w:rsidR="00223E57">
        <w:rPr>
          <w:rFonts w:ascii="Arial" w:hAnsi="Arial" w:cs="Arial"/>
          <w:b/>
          <w:bCs/>
        </w:rPr>
        <w:t xml:space="preserve"> </w:t>
      </w:r>
      <w:r w:rsidR="00703A59">
        <w:rPr>
          <w:rFonts w:ascii="Arial" w:hAnsi="Arial" w:cs="Arial"/>
          <w:b/>
          <w:bCs/>
        </w:rPr>
        <w:t>the final ranking of health priorities</w:t>
      </w:r>
      <w:r w:rsidR="00B05477">
        <w:rPr>
          <w:rFonts w:ascii="Arial" w:hAnsi="Arial" w:cs="Arial"/>
          <w:b/>
          <w:bCs/>
        </w:rPr>
        <w:t xml:space="preserve"> from the community prioritization meeting. This should resemble a written report that will be inserted into the final CHA Report. </w:t>
      </w:r>
      <w:r w:rsidR="00447D18">
        <w:rPr>
          <w:rFonts w:ascii="Arial" w:hAnsi="Arial" w:cs="Arial"/>
          <w:b/>
          <w:bCs/>
        </w:rPr>
        <w:t>M</w:t>
      </w:r>
      <w:r w:rsidR="00447D18">
        <w:rPr>
          <w:rFonts w:ascii="Arial" w:hAnsi="Arial" w:cs="Arial"/>
          <w:b/>
          <w:bCs/>
        </w:rPr>
        <w:t>ust be a professional document for public audiences of print quality.</w:t>
      </w:r>
    </w:p>
    <w:p w14:paraId="63B8D627" w14:textId="44FC8BE1" w:rsidR="00871AF2" w:rsidRDefault="00871AF2" w:rsidP="00D53D5A">
      <w:pPr>
        <w:spacing w:after="0"/>
        <w:rPr>
          <w:rFonts w:ascii="Arial" w:hAnsi="Arial" w:cs="Arial"/>
          <w:b/>
          <w:bCs/>
        </w:rPr>
      </w:pPr>
    </w:p>
    <w:p w14:paraId="278F1E4A" w14:textId="23E8A619" w:rsidR="00871AF2" w:rsidRDefault="00871AF2" w:rsidP="00D53D5A">
      <w:pPr>
        <w:spacing w:after="0"/>
        <w:rPr>
          <w:rFonts w:ascii="Arial" w:hAnsi="Arial" w:cs="Arial"/>
          <w:b/>
          <w:bCs/>
        </w:rPr>
      </w:pPr>
      <w:r w:rsidRPr="00A637E9">
        <w:rPr>
          <w:rFonts w:ascii="Arial" w:hAnsi="Arial" w:cs="Arial"/>
          <w:b/>
          <w:bCs/>
        </w:rPr>
        <w:t>Examples of previous meetings summaries can be found within</w:t>
      </w:r>
      <w:r w:rsidR="008E4687" w:rsidRPr="00A637E9">
        <w:rPr>
          <w:rFonts w:ascii="Arial" w:hAnsi="Arial" w:cs="Arial"/>
          <w:b/>
          <w:bCs/>
        </w:rPr>
        <w:t xml:space="preserve"> the Florida Department of Health in </w:t>
      </w:r>
      <w:r w:rsidR="00A637E9" w:rsidRPr="00A637E9">
        <w:rPr>
          <w:rFonts w:ascii="Arial" w:hAnsi="Arial" w:cs="Arial"/>
          <w:b/>
          <w:bCs/>
        </w:rPr>
        <w:t>Hillsborough</w:t>
      </w:r>
      <w:r w:rsidR="008E4687" w:rsidRPr="00A637E9">
        <w:rPr>
          <w:rFonts w:ascii="Arial" w:hAnsi="Arial" w:cs="Arial"/>
          <w:b/>
          <w:bCs/>
        </w:rPr>
        <w:t xml:space="preserve"> County’s 2019 </w:t>
      </w:r>
      <w:r w:rsidR="0005011D">
        <w:rPr>
          <w:rFonts w:ascii="Arial" w:hAnsi="Arial" w:cs="Arial"/>
          <w:b/>
          <w:bCs/>
        </w:rPr>
        <w:t>C</w:t>
      </w:r>
      <w:r w:rsidR="008E4687" w:rsidRPr="00A637E9">
        <w:rPr>
          <w:rFonts w:ascii="Arial" w:hAnsi="Arial" w:cs="Arial"/>
          <w:b/>
          <w:bCs/>
        </w:rPr>
        <w:t xml:space="preserve">ommunity Health Assessment, Appendix </w:t>
      </w:r>
      <w:r w:rsidR="00A637E9">
        <w:rPr>
          <w:rFonts w:ascii="Arial" w:hAnsi="Arial" w:cs="Arial"/>
          <w:b/>
          <w:bCs/>
        </w:rPr>
        <w:t>G</w:t>
      </w:r>
      <w:r w:rsidR="008E4687" w:rsidRPr="00A637E9">
        <w:rPr>
          <w:rFonts w:ascii="Arial" w:hAnsi="Arial" w:cs="Arial"/>
          <w:b/>
          <w:bCs/>
        </w:rPr>
        <w:t>, accessible here:</w:t>
      </w:r>
      <w:r w:rsidR="008E4687">
        <w:rPr>
          <w:rFonts w:ascii="Arial" w:hAnsi="Arial" w:cs="Arial"/>
          <w:b/>
          <w:bCs/>
        </w:rPr>
        <w:t xml:space="preserve"> </w:t>
      </w:r>
      <w:hyperlink r:id="rId5" w:history="1">
        <w:r w:rsidR="00A637E9" w:rsidRPr="006A4578">
          <w:rPr>
            <w:rStyle w:val="Hyperlink"/>
          </w:rPr>
          <w:t>https://hillsborough.floridahealth.gov/programs-and-services/community-health-planning-statistics/status-reports/_documents/hillsborough-cha-updated-07-2021.pdf</w:t>
        </w:r>
      </w:hyperlink>
      <w:r w:rsidR="00A637E9">
        <w:t xml:space="preserve"> </w:t>
      </w:r>
    </w:p>
    <w:p w14:paraId="52B436DA" w14:textId="78ACBE1C" w:rsidR="00AB2628" w:rsidRDefault="008464EC" w:rsidP="00D53D5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A9E4D8A" w14:textId="279A1CBB" w:rsidR="00AB2628" w:rsidRDefault="00A637E9" w:rsidP="00D53D5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r</w:t>
      </w:r>
      <w:r w:rsidR="00AB2628">
        <w:rPr>
          <w:rFonts w:ascii="Arial" w:hAnsi="Arial" w:cs="Arial"/>
          <w:b/>
          <w:bCs/>
        </w:rPr>
        <w:t>eport should also reflect the following criteria:</w:t>
      </w:r>
    </w:p>
    <w:p w14:paraId="59DBA2DC" w14:textId="5A03C4B6" w:rsidR="00AB2628" w:rsidRDefault="00AB2628" w:rsidP="00D53D5A">
      <w:pPr>
        <w:spacing w:after="0"/>
        <w:rPr>
          <w:rFonts w:ascii="Arial" w:hAnsi="Arial" w:cs="Arial"/>
          <w:b/>
          <w:bCs/>
        </w:rPr>
      </w:pPr>
    </w:p>
    <w:p w14:paraId="1F9A1D93" w14:textId="77777777" w:rsidR="00AB2628" w:rsidRDefault="00AB2628" w:rsidP="00AB2628">
      <w:pPr>
        <w:pStyle w:val="Heading7"/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</w:pPr>
      <w:r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>Measure 1.3.1 A: Analyze data and draw public health conclusions.</w:t>
      </w:r>
    </w:p>
    <w:p w14:paraId="766D41ED" w14:textId="77777777" w:rsidR="00AB2628" w:rsidRDefault="00AB2628" w:rsidP="00AB2628">
      <w:pPr>
        <w:pStyle w:val="ListParagraph"/>
        <w:numPr>
          <w:ilvl w:val="0"/>
          <w:numId w:val="3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0F281A">
        <w:rPr>
          <w:rFonts w:eastAsia="Times New Roman"/>
          <w:b/>
          <w:bCs/>
          <w:color w:val="000000" w:themeColor="text1"/>
          <w:sz w:val="24"/>
          <w:szCs w:val="24"/>
        </w:rPr>
        <w:t xml:space="preserve">Data from multiple sources analyzed with findings shared. Each example must include: </w:t>
      </w:r>
    </w:p>
    <w:p w14:paraId="588723C5" w14:textId="77777777" w:rsidR="00AB2628" w:rsidRDefault="00AB2628" w:rsidP="00AB262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At least some data specific to the population served by the health department. </w:t>
      </w:r>
    </w:p>
    <w:p w14:paraId="53743460" w14:textId="77777777" w:rsidR="00AB2628" w:rsidRDefault="00AB2628" w:rsidP="00AB262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At least two (2) data sources per example. At least one (1) example will include qualitative data. </w:t>
      </w:r>
    </w:p>
    <w:p w14:paraId="2C0A31B9" w14:textId="77777777" w:rsidR="00AB2628" w:rsidRDefault="00AB2628" w:rsidP="00AB262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The analytic process used. </w:t>
      </w:r>
    </w:p>
    <w:p w14:paraId="1E2260CC" w14:textId="77777777" w:rsidR="00AB2628" w:rsidRDefault="00AB2628" w:rsidP="00AB262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Conclusions drawn from data analysis</w:t>
      </w:r>
    </w:p>
    <w:p w14:paraId="27E83CBD" w14:textId="77777777" w:rsidR="00AB2628" w:rsidRDefault="00AB2628" w:rsidP="00AB262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Engagement with external stakeholders about findings. </w:t>
      </w:r>
    </w:p>
    <w:p w14:paraId="136EF535" w14:textId="77777777" w:rsidR="00AB2628" w:rsidRDefault="00AB2628" w:rsidP="00AB2628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One example must include the health department’s governing entity or advisory board. </w:t>
      </w:r>
    </w:p>
    <w:p w14:paraId="5D9E5E72" w14:textId="77777777" w:rsidR="00AB2628" w:rsidRDefault="00AB2628" w:rsidP="00D53D5A">
      <w:pPr>
        <w:spacing w:after="0"/>
        <w:rPr>
          <w:rFonts w:ascii="Arial" w:hAnsi="Arial" w:cs="Arial"/>
          <w:b/>
          <w:bCs/>
        </w:rPr>
      </w:pPr>
    </w:p>
    <w:sectPr w:rsidR="00AB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B5E"/>
    <w:multiLevelType w:val="hybridMultilevel"/>
    <w:tmpl w:val="46AEEBE4"/>
    <w:lvl w:ilvl="0" w:tplc="47EEED2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44E0969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92A2D5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0ABA7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30CD3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FBCE6F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2635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B8ACD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B88F26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970DFA"/>
    <w:multiLevelType w:val="hybridMultilevel"/>
    <w:tmpl w:val="D09A5586"/>
    <w:lvl w:ilvl="0" w:tplc="6A08198A">
      <w:start w:val="1"/>
      <w:numFmt w:val="decimal"/>
      <w:lvlText w:val="%1."/>
      <w:lvlJc w:val="left"/>
      <w:pPr>
        <w:ind w:left="720" w:hanging="360"/>
      </w:pPr>
    </w:lvl>
    <w:lvl w:ilvl="1" w:tplc="09601556">
      <w:start w:val="1"/>
      <w:numFmt w:val="lowerLetter"/>
      <w:lvlText w:val="%2."/>
      <w:lvlJc w:val="left"/>
      <w:pPr>
        <w:ind w:left="1440" w:hanging="360"/>
      </w:pPr>
    </w:lvl>
    <w:lvl w:ilvl="2" w:tplc="E74E4090">
      <w:start w:val="1"/>
      <w:numFmt w:val="lowerRoman"/>
      <w:lvlText w:val="%3."/>
      <w:lvlJc w:val="right"/>
      <w:pPr>
        <w:ind w:left="2160" w:hanging="180"/>
      </w:pPr>
    </w:lvl>
    <w:lvl w:ilvl="3" w:tplc="4E4E64FA">
      <w:start w:val="1"/>
      <w:numFmt w:val="decimal"/>
      <w:lvlText w:val="%4."/>
      <w:lvlJc w:val="left"/>
      <w:pPr>
        <w:ind w:left="2880" w:hanging="360"/>
      </w:pPr>
    </w:lvl>
    <w:lvl w:ilvl="4" w:tplc="64C44D32">
      <w:start w:val="1"/>
      <w:numFmt w:val="lowerLetter"/>
      <w:lvlText w:val="%5."/>
      <w:lvlJc w:val="left"/>
      <w:pPr>
        <w:ind w:left="3600" w:hanging="360"/>
      </w:pPr>
    </w:lvl>
    <w:lvl w:ilvl="5" w:tplc="CB9CB410">
      <w:start w:val="1"/>
      <w:numFmt w:val="lowerRoman"/>
      <w:lvlText w:val="%6."/>
      <w:lvlJc w:val="right"/>
      <w:pPr>
        <w:ind w:left="4320" w:hanging="180"/>
      </w:pPr>
    </w:lvl>
    <w:lvl w:ilvl="6" w:tplc="379A8DBE">
      <w:start w:val="1"/>
      <w:numFmt w:val="decimal"/>
      <w:lvlText w:val="%7."/>
      <w:lvlJc w:val="left"/>
      <w:pPr>
        <w:ind w:left="5040" w:hanging="360"/>
      </w:pPr>
    </w:lvl>
    <w:lvl w:ilvl="7" w:tplc="2806B0DC">
      <w:start w:val="1"/>
      <w:numFmt w:val="lowerLetter"/>
      <w:lvlText w:val="%8."/>
      <w:lvlJc w:val="left"/>
      <w:pPr>
        <w:ind w:left="5760" w:hanging="360"/>
      </w:pPr>
    </w:lvl>
    <w:lvl w:ilvl="8" w:tplc="6426A0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C0580"/>
    <w:multiLevelType w:val="hybridMultilevel"/>
    <w:tmpl w:val="676E437C"/>
    <w:lvl w:ilvl="0" w:tplc="662AF0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972ACED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6666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464F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D2E3B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5F2DB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586B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525E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A9CE0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3104721">
    <w:abstractNumId w:val="0"/>
  </w:num>
  <w:num w:numId="2" w16cid:durableId="702369859">
    <w:abstractNumId w:val="2"/>
  </w:num>
  <w:num w:numId="3" w16cid:durableId="13254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5A"/>
    <w:rsid w:val="0005011D"/>
    <w:rsid w:val="00121849"/>
    <w:rsid w:val="001826D2"/>
    <w:rsid w:val="00223E57"/>
    <w:rsid w:val="002621B0"/>
    <w:rsid w:val="003176AB"/>
    <w:rsid w:val="00367C84"/>
    <w:rsid w:val="00382AB3"/>
    <w:rsid w:val="00393042"/>
    <w:rsid w:val="00447D18"/>
    <w:rsid w:val="004806AB"/>
    <w:rsid w:val="004C4428"/>
    <w:rsid w:val="005F52DC"/>
    <w:rsid w:val="00703A59"/>
    <w:rsid w:val="008464EC"/>
    <w:rsid w:val="0085322E"/>
    <w:rsid w:val="00871AF2"/>
    <w:rsid w:val="008D3A30"/>
    <w:rsid w:val="008E4687"/>
    <w:rsid w:val="008F32DF"/>
    <w:rsid w:val="009533B5"/>
    <w:rsid w:val="00963854"/>
    <w:rsid w:val="009B7030"/>
    <w:rsid w:val="009E70A3"/>
    <w:rsid w:val="00A637E9"/>
    <w:rsid w:val="00AB2628"/>
    <w:rsid w:val="00B05477"/>
    <w:rsid w:val="00D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B8FF"/>
  <w15:chartTrackingRefBased/>
  <w15:docId w15:val="{CD189C37-D4C7-46CE-98F9-FFAA9193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2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AB26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AB2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llsborough.floridahealth.gov/programs-and-services/community-health-planning-statistics/status-reports/_documents/hillsborough-cha-updated-07-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Allison W.</dc:creator>
  <cp:keywords/>
  <dc:description/>
  <cp:lastModifiedBy>Nguyen, Allison W.</cp:lastModifiedBy>
  <cp:revision>14</cp:revision>
  <dcterms:created xsi:type="dcterms:W3CDTF">2023-03-02T20:18:00Z</dcterms:created>
  <dcterms:modified xsi:type="dcterms:W3CDTF">2023-03-10T20:19:00Z</dcterms:modified>
</cp:coreProperties>
</file>